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B7" w:rsidRDefault="003666B7" w:rsidP="005A5D2C">
      <w:pPr>
        <w:jc w:val="both"/>
      </w:pPr>
      <w:bookmarkStart w:id="0" w:name="_GoBack"/>
      <w:bookmarkEnd w:id="0"/>
    </w:p>
    <w:p w:rsidR="003666B7" w:rsidRPr="004F3E1C" w:rsidRDefault="003666B7" w:rsidP="005A5D2C">
      <w:pPr>
        <w:jc w:val="both"/>
        <w:rPr>
          <w:rFonts w:asciiTheme="minorHAnsi" w:hAnsiTheme="minorHAnsi"/>
          <w:b/>
          <w:sz w:val="28"/>
          <w:szCs w:val="28"/>
        </w:rPr>
      </w:pPr>
      <w:r w:rsidRPr="004F3E1C">
        <w:rPr>
          <w:rFonts w:asciiTheme="minorHAnsi" w:hAnsiTheme="minorHAnsi"/>
          <w:b/>
          <w:sz w:val="28"/>
          <w:szCs w:val="28"/>
        </w:rPr>
        <w:t xml:space="preserve">Estratti di sentenze della Corte Costituzionale -  L’equilibrio di bilancio nelle amministrazioni pubbliche e negli enti locali. </w:t>
      </w:r>
    </w:p>
    <w:p w:rsidR="003666B7" w:rsidRPr="004F3E1C" w:rsidRDefault="003666B7" w:rsidP="005A5D2C">
      <w:pPr>
        <w:jc w:val="both"/>
        <w:rPr>
          <w:rFonts w:asciiTheme="minorHAnsi" w:hAnsiTheme="minorHAnsi"/>
          <w:sz w:val="28"/>
          <w:szCs w:val="28"/>
        </w:rPr>
      </w:pPr>
    </w:p>
    <w:p w:rsidR="005A5D2C" w:rsidRPr="004F3E1C" w:rsidRDefault="005A5D2C" w:rsidP="005A5D2C">
      <w:pPr>
        <w:jc w:val="both"/>
        <w:rPr>
          <w:rFonts w:asciiTheme="minorHAnsi" w:eastAsia="Times New Roman" w:hAnsiTheme="minorHAnsi" w:cs="Arial"/>
          <w:sz w:val="28"/>
          <w:szCs w:val="28"/>
          <w:lang w:eastAsia="it-IT"/>
        </w:rPr>
      </w:pPr>
      <w:r w:rsidRPr="004F3E1C">
        <w:rPr>
          <w:rFonts w:asciiTheme="minorHAnsi" w:hAnsiTheme="minorHAnsi"/>
          <w:sz w:val="28"/>
          <w:szCs w:val="28"/>
        </w:rPr>
        <w:t xml:space="preserve">Sentenza Corte </w:t>
      </w:r>
      <w:proofErr w:type="gramStart"/>
      <w:r w:rsidRPr="004F3E1C">
        <w:rPr>
          <w:rFonts w:asciiTheme="minorHAnsi" w:hAnsiTheme="minorHAnsi"/>
          <w:sz w:val="28"/>
          <w:szCs w:val="28"/>
        </w:rPr>
        <w:t>Costituzionale  70</w:t>
      </w:r>
      <w:proofErr w:type="gramEnd"/>
      <w:r w:rsidRPr="004F3E1C">
        <w:rPr>
          <w:rFonts w:asciiTheme="minorHAnsi" w:hAnsiTheme="minorHAnsi"/>
          <w:sz w:val="28"/>
          <w:szCs w:val="28"/>
        </w:rPr>
        <w:t xml:space="preserve"> / 2012</w:t>
      </w:r>
    </w:p>
    <w:p w:rsidR="005A5D2C" w:rsidRPr="004F3E1C" w:rsidRDefault="005A5D2C" w:rsidP="005A5D2C">
      <w:pPr>
        <w:spacing w:before="100" w:beforeAutospacing="1" w:after="100" w:afterAutospacing="1" w:line="240" w:lineRule="auto"/>
        <w:jc w:val="both"/>
        <w:rPr>
          <w:rFonts w:asciiTheme="minorHAnsi" w:hAnsiTheme="minorHAnsi"/>
          <w:b/>
          <w:sz w:val="28"/>
          <w:szCs w:val="28"/>
        </w:rPr>
      </w:pPr>
      <w:r w:rsidRPr="004F3E1C">
        <w:rPr>
          <w:rFonts w:asciiTheme="minorHAnsi" w:hAnsiTheme="minorHAnsi"/>
          <w:sz w:val="28"/>
          <w:szCs w:val="28"/>
        </w:rPr>
        <w:t xml:space="preserve">Caratteristica fondamentale del bilancio di previsione è quella di riferirsi alle operazioni ipotizzate nell’esercizio di riferimento, le quali – proprio </w:t>
      </w:r>
      <w:r w:rsidRPr="004F3E1C">
        <w:rPr>
          <w:rFonts w:asciiTheme="minorHAnsi" w:hAnsiTheme="minorHAnsi"/>
          <w:b/>
          <w:sz w:val="28"/>
          <w:szCs w:val="28"/>
        </w:rPr>
        <w:t xml:space="preserve">in base al principio costituzionale dell’equilibrio tendenziale tra spese ed entrate di cui all’art. 81, quarto comma, </w:t>
      </w:r>
      <w:proofErr w:type="spellStart"/>
      <w:r w:rsidRPr="004F3E1C">
        <w:rPr>
          <w:rFonts w:asciiTheme="minorHAnsi" w:hAnsiTheme="minorHAnsi"/>
          <w:b/>
          <w:sz w:val="28"/>
          <w:szCs w:val="28"/>
        </w:rPr>
        <w:t>Cost</w:t>
      </w:r>
      <w:proofErr w:type="spellEnd"/>
      <w:r w:rsidRPr="004F3E1C">
        <w:rPr>
          <w:rFonts w:asciiTheme="minorHAnsi" w:hAnsiTheme="minorHAnsi"/>
          <w:b/>
          <w:sz w:val="28"/>
          <w:szCs w:val="28"/>
        </w:rPr>
        <w:t>.</w:t>
      </w:r>
      <w:r w:rsidRPr="004F3E1C">
        <w:rPr>
          <w:rFonts w:asciiTheme="minorHAnsi" w:hAnsiTheme="minorHAnsi"/>
          <w:sz w:val="28"/>
          <w:szCs w:val="28"/>
        </w:rPr>
        <w:t xml:space="preserve"> – </w:t>
      </w:r>
      <w:r w:rsidRPr="004F3E1C">
        <w:rPr>
          <w:rFonts w:asciiTheme="minorHAnsi" w:hAnsiTheme="minorHAnsi"/>
          <w:b/>
          <w:sz w:val="28"/>
          <w:szCs w:val="28"/>
        </w:rPr>
        <w:t>dovrebbero compensarsi nel confronto tra attività e passività.</w:t>
      </w:r>
    </w:p>
    <w:p w:rsidR="005A5D2C" w:rsidRPr="004F3E1C" w:rsidRDefault="005A5D2C" w:rsidP="005A5D2C">
      <w:pPr>
        <w:spacing w:before="100" w:beforeAutospacing="1" w:after="100" w:afterAutospacing="1" w:line="240" w:lineRule="auto"/>
        <w:jc w:val="both"/>
        <w:rPr>
          <w:rFonts w:asciiTheme="minorHAnsi" w:hAnsiTheme="minorHAnsi"/>
          <w:b/>
          <w:sz w:val="28"/>
          <w:szCs w:val="28"/>
        </w:rPr>
      </w:pPr>
    </w:p>
    <w:p w:rsidR="005A5D2C" w:rsidRPr="004F3E1C" w:rsidRDefault="005A5D2C" w:rsidP="005A5D2C">
      <w:pPr>
        <w:rPr>
          <w:rFonts w:asciiTheme="minorHAnsi" w:hAnsiTheme="minorHAnsi"/>
          <w:sz w:val="28"/>
          <w:szCs w:val="28"/>
        </w:rPr>
      </w:pPr>
      <w:r w:rsidRPr="004F3E1C">
        <w:rPr>
          <w:rFonts w:asciiTheme="minorHAnsi" w:hAnsiTheme="minorHAnsi"/>
          <w:sz w:val="28"/>
          <w:szCs w:val="28"/>
        </w:rPr>
        <w:t>Sentenza Corte Costituzionale n. 250/2013</w:t>
      </w:r>
    </w:p>
    <w:p w:rsidR="005A5D2C" w:rsidRPr="004F3E1C" w:rsidRDefault="005A5D2C" w:rsidP="005A5D2C">
      <w:pPr>
        <w:jc w:val="both"/>
        <w:rPr>
          <w:rFonts w:asciiTheme="minorHAnsi" w:hAnsiTheme="minorHAnsi"/>
          <w:b/>
          <w:sz w:val="28"/>
          <w:szCs w:val="28"/>
        </w:rPr>
      </w:pPr>
      <w:r w:rsidRPr="004F3E1C">
        <w:rPr>
          <w:rFonts w:asciiTheme="minorHAnsi" w:hAnsiTheme="minorHAnsi"/>
          <w:b/>
          <w:sz w:val="28"/>
          <w:szCs w:val="28"/>
        </w:rPr>
        <w:t xml:space="preserve">Il principio dell’equilibrio tendenziale del bilancio «consiste nella continua ricerca di un armonico e simmetrico bilanciamento tra risorse disponibili e spese necessarie per il perseguimento delle finalità pubbliche» </w:t>
      </w:r>
    </w:p>
    <w:p w:rsidR="00AD43B9" w:rsidRPr="004F3E1C" w:rsidRDefault="00AD43B9" w:rsidP="00AD43B9">
      <w:pPr>
        <w:jc w:val="both"/>
        <w:rPr>
          <w:rFonts w:asciiTheme="minorHAnsi" w:hAnsiTheme="minorHAnsi"/>
          <w:b/>
          <w:sz w:val="28"/>
          <w:szCs w:val="28"/>
        </w:rPr>
      </w:pPr>
    </w:p>
    <w:p w:rsidR="00AD43B9" w:rsidRPr="004F3E1C" w:rsidRDefault="00AD43B9" w:rsidP="00AD43B9">
      <w:pPr>
        <w:jc w:val="both"/>
        <w:rPr>
          <w:rFonts w:asciiTheme="minorHAnsi" w:hAnsiTheme="minorHAnsi"/>
          <w:b/>
          <w:sz w:val="28"/>
          <w:szCs w:val="28"/>
        </w:rPr>
      </w:pPr>
      <w:r w:rsidRPr="004F3E1C">
        <w:rPr>
          <w:rFonts w:asciiTheme="minorHAnsi" w:hAnsiTheme="minorHAnsi"/>
          <w:b/>
          <w:sz w:val="28"/>
          <w:szCs w:val="28"/>
        </w:rPr>
        <w:t>Sentenza</w:t>
      </w:r>
      <w:r w:rsidR="005A5D2C" w:rsidRPr="004F3E1C">
        <w:rPr>
          <w:rFonts w:asciiTheme="minorHAnsi" w:hAnsiTheme="minorHAnsi"/>
          <w:b/>
          <w:sz w:val="28"/>
          <w:szCs w:val="28"/>
        </w:rPr>
        <w:t xml:space="preserve"> </w:t>
      </w:r>
      <w:r w:rsidR="005A5D2C" w:rsidRPr="004F3E1C">
        <w:rPr>
          <w:rFonts w:asciiTheme="minorHAnsi" w:hAnsiTheme="minorHAnsi"/>
          <w:sz w:val="28"/>
          <w:szCs w:val="28"/>
        </w:rPr>
        <w:t>Corte Costituzionale</w:t>
      </w:r>
      <w:r w:rsidRPr="004F3E1C">
        <w:rPr>
          <w:rFonts w:asciiTheme="minorHAnsi" w:hAnsiTheme="minorHAnsi"/>
          <w:b/>
          <w:sz w:val="28"/>
          <w:szCs w:val="28"/>
        </w:rPr>
        <w:t xml:space="preserve"> 6 / 2017</w:t>
      </w:r>
    </w:p>
    <w:p w:rsidR="00AD43B9" w:rsidRPr="004F3E1C" w:rsidRDefault="00AD43B9" w:rsidP="00AD43B9">
      <w:pPr>
        <w:jc w:val="both"/>
        <w:rPr>
          <w:rFonts w:asciiTheme="minorHAnsi" w:hAnsiTheme="minorHAnsi"/>
          <w:b/>
          <w:sz w:val="28"/>
          <w:szCs w:val="28"/>
        </w:rPr>
      </w:pPr>
      <w:r w:rsidRPr="004F3E1C">
        <w:rPr>
          <w:rFonts w:asciiTheme="minorHAnsi" w:hAnsiTheme="minorHAnsi"/>
          <w:b/>
          <w:sz w:val="28"/>
          <w:szCs w:val="28"/>
        </w:rPr>
        <w:t xml:space="preserve">Per quel che riguarda il particolare ambito dell’armonizzazione dei bilanci pubblici, i principi contabili di cui al d.lgs. n. 118 del 2011 sono al centro di un «intreccio </w:t>
      </w:r>
      <w:proofErr w:type="spellStart"/>
      <w:r w:rsidRPr="004F3E1C">
        <w:rPr>
          <w:rFonts w:asciiTheme="minorHAnsi" w:hAnsiTheme="minorHAnsi"/>
          <w:b/>
          <w:sz w:val="28"/>
          <w:szCs w:val="28"/>
        </w:rPr>
        <w:t>polidirezionale</w:t>
      </w:r>
      <w:proofErr w:type="spellEnd"/>
      <w:r w:rsidRPr="004F3E1C">
        <w:rPr>
          <w:rFonts w:asciiTheme="minorHAnsi" w:hAnsiTheme="minorHAnsi"/>
          <w:b/>
          <w:sz w:val="28"/>
          <w:szCs w:val="28"/>
        </w:rPr>
        <w:t xml:space="preserve"> delle competenze statali e regionali in una sequenza dinamica e mutevole della legislazione» (sentenza n. 184 del 2016) afferente ai parametri costituzionali posti a presidio degli interessi finanziari, cosicché il d.lgs. n. 118 del 2011 non contiene disposizioni ispirate soltanto all’armonizzazione dei bilanci. Dette disposizioni riguardano anche altri parametri quali, nel caso di specie, il principio dell’equilibrio di bilancio di cui all’art. 81 </w:t>
      </w:r>
      <w:proofErr w:type="spellStart"/>
      <w:r w:rsidRPr="004F3E1C">
        <w:rPr>
          <w:rFonts w:asciiTheme="minorHAnsi" w:hAnsiTheme="minorHAnsi"/>
          <w:b/>
          <w:sz w:val="28"/>
          <w:szCs w:val="28"/>
        </w:rPr>
        <w:t>Cost</w:t>
      </w:r>
      <w:proofErr w:type="spellEnd"/>
      <w:r w:rsidRPr="004F3E1C">
        <w:rPr>
          <w:rFonts w:asciiTheme="minorHAnsi" w:hAnsiTheme="minorHAnsi"/>
          <w:b/>
          <w:sz w:val="28"/>
          <w:szCs w:val="28"/>
        </w:rPr>
        <w:t>.</w:t>
      </w:r>
    </w:p>
    <w:p w:rsidR="00AD43B9" w:rsidRPr="004F3E1C" w:rsidRDefault="00AD43B9" w:rsidP="00AD43B9">
      <w:pPr>
        <w:jc w:val="both"/>
        <w:rPr>
          <w:rFonts w:asciiTheme="minorHAnsi" w:hAnsiTheme="minorHAnsi"/>
          <w:b/>
          <w:sz w:val="28"/>
          <w:szCs w:val="28"/>
        </w:rPr>
      </w:pPr>
      <w:r w:rsidRPr="004F3E1C">
        <w:rPr>
          <w:rFonts w:asciiTheme="minorHAnsi" w:hAnsiTheme="minorHAnsi"/>
          <w:b/>
          <w:sz w:val="28"/>
          <w:szCs w:val="28"/>
        </w:rPr>
        <w:t xml:space="preserve">Dunque, l’armonizzazione si colloca contemporaneamente in posizione autonoma e strumentale rispetto al principio dell’equilibrio del bilancio ex art. 81 </w:t>
      </w:r>
      <w:proofErr w:type="spellStart"/>
      <w:r w:rsidRPr="004F3E1C">
        <w:rPr>
          <w:rFonts w:asciiTheme="minorHAnsi" w:hAnsiTheme="minorHAnsi"/>
          <w:b/>
          <w:sz w:val="28"/>
          <w:szCs w:val="28"/>
        </w:rPr>
        <w:t>Cost</w:t>
      </w:r>
      <w:proofErr w:type="spellEnd"/>
      <w:r w:rsidRPr="004F3E1C">
        <w:rPr>
          <w:rFonts w:asciiTheme="minorHAnsi" w:hAnsiTheme="minorHAnsi"/>
          <w:b/>
          <w:sz w:val="28"/>
          <w:szCs w:val="28"/>
        </w:rPr>
        <w:t xml:space="preserve">. Ciò comporta che le censure mosse dal Presidente del Consiglio dei ministri debbano essere prese in considerazione sia con riferimento diretto all’art. 81, terzo comma, </w:t>
      </w:r>
      <w:proofErr w:type="spellStart"/>
      <w:r w:rsidRPr="004F3E1C">
        <w:rPr>
          <w:rFonts w:asciiTheme="minorHAnsi" w:hAnsiTheme="minorHAnsi"/>
          <w:b/>
          <w:sz w:val="28"/>
          <w:szCs w:val="28"/>
        </w:rPr>
        <w:t>Cost</w:t>
      </w:r>
      <w:proofErr w:type="spellEnd"/>
      <w:r w:rsidRPr="004F3E1C">
        <w:rPr>
          <w:rFonts w:asciiTheme="minorHAnsi" w:hAnsiTheme="minorHAnsi"/>
          <w:b/>
          <w:sz w:val="28"/>
          <w:szCs w:val="28"/>
        </w:rPr>
        <w:t>., sia in relazione alle norme contenute nel d.lgs. n. 118 del 2011.</w:t>
      </w:r>
    </w:p>
    <w:p w:rsidR="00AD43B9" w:rsidRPr="004F3E1C" w:rsidRDefault="005A5D2C">
      <w:pPr>
        <w:rPr>
          <w:rFonts w:asciiTheme="minorHAnsi" w:hAnsiTheme="minorHAnsi"/>
          <w:sz w:val="28"/>
          <w:szCs w:val="28"/>
        </w:rPr>
      </w:pPr>
      <w:proofErr w:type="gramStart"/>
      <w:r w:rsidRPr="004F3E1C">
        <w:rPr>
          <w:rFonts w:asciiTheme="minorHAnsi" w:hAnsiTheme="minorHAnsi"/>
          <w:sz w:val="28"/>
          <w:szCs w:val="28"/>
        </w:rPr>
        <w:t>….</w:t>
      </w:r>
      <w:proofErr w:type="gramEnd"/>
      <w:r w:rsidRPr="004F3E1C">
        <w:rPr>
          <w:rFonts w:asciiTheme="minorHAnsi" w:hAnsiTheme="minorHAnsi"/>
          <w:sz w:val="28"/>
          <w:szCs w:val="28"/>
        </w:rPr>
        <w:t>omissis…</w:t>
      </w:r>
    </w:p>
    <w:p w:rsidR="00AD43B9" w:rsidRPr="004F3E1C" w:rsidRDefault="00AD43B9" w:rsidP="00AD43B9">
      <w:pPr>
        <w:jc w:val="both"/>
        <w:rPr>
          <w:rFonts w:asciiTheme="minorHAnsi" w:hAnsiTheme="minorHAnsi"/>
          <w:b/>
          <w:sz w:val="28"/>
          <w:szCs w:val="28"/>
        </w:rPr>
      </w:pPr>
      <w:r w:rsidRPr="004F3E1C">
        <w:rPr>
          <w:rFonts w:asciiTheme="minorHAnsi" w:hAnsiTheme="minorHAnsi"/>
          <w:sz w:val="28"/>
          <w:szCs w:val="28"/>
        </w:rPr>
        <w:lastRenderedPageBreak/>
        <w:t xml:space="preserve">In una precedente fattispecie di copertura con rinvio ad esercizi futuri, questa Corte – sempre con riguardo alla Regione autonoma Sardegna – ha affermato che </w:t>
      </w:r>
      <w:r w:rsidRPr="004F3E1C">
        <w:rPr>
          <w:rFonts w:asciiTheme="minorHAnsi" w:hAnsiTheme="minorHAnsi"/>
          <w:b/>
          <w:sz w:val="28"/>
          <w:szCs w:val="28"/>
        </w:rPr>
        <w:t>«l’obbligo di copertura deve essere osservato con puntualità rigorosa nei confronti delle spese che incidono su un esercizio in corso e deve valutarsi il tendenziale equilibrio tra entrate ed uscite nel lungo periodo, valutando gli oneri già gravanti sugli esercizi futuri (sentenza n. 384 del 1991).</w:t>
      </w:r>
      <w:r w:rsidRPr="004F3E1C">
        <w:rPr>
          <w:rFonts w:asciiTheme="minorHAnsi" w:hAnsiTheme="minorHAnsi"/>
          <w:sz w:val="28"/>
          <w:szCs w:val="28"/>
        </w:rPr>
        <w:t xml:space="preserve"> […] </w:t>
      </w:r>
      <w:r w:rsidRPr="004F3E1C">
        <w:rPr>
          <w:rFonts w:asciiTheme="minorHAnsi" w:hAnsiTheme="minorHAnsi"/>
          <w:b/>
          <w:sz w:val="28"/>
          <w:szCs w:val="28"/>
        </w:rPr>
        <w:t>È per questo che l’art. 81, quarto [ora terzo] comma, della Costituzione, pone il principio fondamentale della copertura delle spese, richiedendo la contestualità tanto dei presupposti che giustificano le previsioni di spesa quanto di quelli posti a fondamento delle previsioni di entrata necessarie per la copertura finanziaria delle prime. In questo quadro è evidente che la copertura di spese mediante crediti futuri, lede il suddetto principio costituzionale […]. Un siffatto sistema di copertura mediante crediti non ancora venuti a scadenza contraddice peraltro la stessa definizione di “accertamento dell’entrata”, poiché è tale quella che si prevede di aver diritto di percepire nell’esercizio finanziario di riferimento e non in un esercizio futuro» (sentenza n. 213 del 2008).</w:t>
      </w:r>
    </w:p>
    <w:p w:rsidR="00AD43B9" w:rsidRPr="004F3E1C" w:rsidRDefault="00AD43B9">
      <w:pPr>
        <w:rPr>
          <w:rFonts w:asciiTheme="minorHAnsi" w:hAnsiTheme="minorHAnsi"/>
          <w:sz w:val="28"/>
          <w:szCs w:val="28"/>
        </w:rPr>
      </w:pPr>
    </w:p>
    <w:p w:rsidR="005A5D2C" w:rsidRPr="004F3E1C" w:rsidRDefault="005A5D2C">
      <w:pPr>
        <w:rPr>
          <w:rFonts w:asciiTheme="minorHAnsi" w:hAnsiTheme="minorHAnsi"/>
          <w:sz w:val="28"/>
          <w:szCs w:val="28"/>
        </w:rPr>
      </w:pPr>
    </w:p>
    <w:p w:rsidR="005A5D2C" w:rsidRPr="004F3E1C" w:rsidRDefault="005A5D2C">
      <w:pPr>
        <w:rPr>
          <w:rFonts w:asciiTheme="minorHAnsi" w:hAnsiTheme="minorHAnsi"/>
          <w:sz w:val="28"/>
          <w:szCs w:val="28"/>
        </w:rPr>
      </w:pPr>
    </w:p>
    <w:p w:rsidR="005A5D2C" w:rsidRPr="004F3E1C" w:rsidRDefault="005A5D2C">
      <w:pPr>
        <w:rPr>
          <w:rFonts w:asciiTheme="minorHAnsi" w:hAnsiTheme="minorHAnsi"/>
          <w:sz w:val="28"/>
          <w:szCs w:val="28"/>
        </w:rPr>
      </w:pPr>
    </w:p>
    <w:p w:rsidR="005A5D2C" w:rsidRPr="004F3E1C" w:rsidRDefault="005A5D2C">
      <w:pPr>
        <w:rPr>
          <w:rFonts w:asciiTheme="minorHAnsi" w:hAnsiTheme="minorHAnsi"/>
          <w:sz w:val="28"/>
          <w:szCs w:val="28"/>
        </w:rPr>
      </w:pPr>
    </w:p>
    <w:p w:rsidR="00547580" w:rsidRPr="004F3E1C" w:rsidRDefault="00547580">
      <w:pPr>
        <w:rPr>
          <w:rFonts w:asciiTheme="minorHAnsi" w:hAnsiTheme="minorHAnsi"/>
          <w:sz w:val="28"/>
          <w:szCs w:val="28"/>
        </w:rPr>
      </w:pPr>
    </w:p>
    <w:p w:rsidR="005A5D2C" w:rsidRPr="004F3E1C" w:rsidRDefault="005A5D2C" w:rsidP="005A5D2C">
      <w:pPr>
        <w:autoSpaceDE w:val="0"/>
        <w:autoSpaceDN w:val="0"/>
        <w:adjustRightInd w:val="0"/>
        <w:spacing w:after="0" w:line="240" w:lineRule="auto"/>
        <w:jc w:val="both"/>
        <w:rPr>
          <w:rFonts w:asciiTheme="minorHAnsi" w:eastAsiaTheme="minorHAnsi" w:hAnsiTheme="minorHAnsi"/>
          <w:sz w:val="28"/>
          <w:szCs w:val="28"/>
        </w:rPr>
      </w:pPr>
      <w:r w:rsidRPr="004F3E1C">
        <w:rPr>
          <w:rFonts w:asciiTheme="minorHAnsi" w:eastAsiaTheme="minorHAnsi" w:hAnsiTheme="minorHAnsi"/>
          <w:sz w:val="28"/>
          <w:szCs w:val="28"/>
        </w:rPr>
        <w:t>Sentenza Corte Costituzionale n. 18/2019</w:t>
      </w:r>
    </w:p>
    <w:p w:rsidR="005A5D2C" w:rsidRPr="004F3E1C" w:rsidRDefault="005A5D2C" w:rsidP="005A5D2C">
      <w:pPr>
        <w:autoSpaceDE w:val="0"/>
        <w:autoSpaceDN w:val="0"/>
        <w:adjustRightInd w:val="0"/>
        <w:spacing w:after="0" w:line="240" w:lineRule="auto"/>
        <w:jc w:val="both"/>
        <w:rPr>
          <w:rFonts w:asciiTheme="minorHAnsi" w:eastAsiaTheme="minorHAnsi" w:hAnsiTheme="minorHAnsi"/>
          <w:sz w:val="28"/>
          <w:szCs w:val="28"/>
        </w:rPr>
      </w:pPr>
    </w:p>
    <w:p w:rsidR="005A5D2C" w:rsidRPr="004F3E1C" w:rsidRDefault="005A5D2C" w:rsidP="005A5D2C">
      <w:pPr>
        <w:autoSpaceDE w:val="0"/>
        <w:autoSpaceDN w:val="0"/>
        <w:adjustRightInd w:val="0"/>
        <w:spacing w:after="0" w:line="240" w:lineRule="auto"/>
        <w:jc w:val="both"/>
        <w:rPr>
          <w:rFonts w:asciiTheme="minorHAnsi" w:eastAsiaTheme="minorHAnsi" w:hAnsiTheme="minorHAnsi"/>
          <w:sz w:val="28"/>
          <w:szCs w:val="28"/>
        </w:rPr>
      </w:pPr>
    </w:p>
    <w:p w:rsidR="005A5D2C" w:rsidRPr="004F3E1C" w:rsidRDefault="005A5D2C" w:rsidP="005A5D2C">
      <w:pPr>
        <w:autoSpaceDE w:val="0"/>
        <w:autoSpaceDN w:val="0"/>
        <w:adjustRightInd w:val="0"/>
        <w:spacing w:after="0" w:line="240" w:lineRule="auto"/>
        <w:jc w:val="both"/>
        <w:rPr>
          <w:rFonts w:asciiTheme="minorHAnsi" w:eastAsiaTheme="minorHAnsi" w:hAnsiTheme="minorHAnsi"/>
          <w:sz w:val="28"/>
          <w:szCs w:val="28"/>
        </w:rPr>
      </w:pPr>
      <w:r w:rsidRPr="004F3E1C">
        <w:rPr>
          <w:rFonts w:asciiTheme="minorHAnsi" w:eastAsiaTheme="minorHAnsi" w:hAnsiTheme="minorHAnsi"/>
          <w:sz w:val="28"/>
          <w:szCs w:val="28"/>
        </w:rPr>
        <w:t>Sull’</w:t>
      </w:r>
      <w:proofErr w:type="spellStart"/>
      <w:r w:rsidRPr="004F3E1C">
        <w:rPr>
          <w:rFonts w:asciiTheme="minorHAnsi" w:eastAsiaTheme="minorHAnsi" w:hAnsiTheme="minorHAnsi"/>
          <w:sz w:val="28"/>
          <w:szCs w:val="28"/>
        </w:rPr>
        <w:t>ascrivibilità</w:t>
      </w:r>
      <w:proofErr w:type="spellEnd"/>
      <w:r w:rsidRPr="004F3E1C">
        <w:rPr>
          <w:rFonts w:asciiTheme="minorHAnsi" w:eastAsiaTheme="minorHAnsi" w:hAnsiTheme="minorHAnsi"/>
          <w:sz w:val="28"/>
          <w:szCs w:val="28"/>
        </w:rPr>
        <w:t xml:space="preserve"> del sindacato sui bilanci degli enti territoriali alla categoria del controllo di legittimità, l’orientamento di questa Corte è costante (ex </w:t>
      </w:r>
      <w:proofErr w:type="spellStart"/>
      <w:r w:rsidRPr="004F3E1C">
        <w:rPr>
          <w:rFonts w:asciiTheme="minorHAnsi" w:eastAsiaTheme="minorHAnsi" w:hAnsiTheme="minorHAnsi"/>
          <w:sz w:val="28"/>
          <w:szCs w:val="28"/>
        </w:rPr>
        <w:t>plurimis</w:t>
      </w:r>
      <w:proofErr w:type="spellEnd"/>
      <w:r w:rsidRPr="004F3E1C">
        <w:rPr>
          <w:rFonts w:asciiTheme="minorHAnsi" w:eastAsiaTheme="minorHAnsi" w:hAnsiTheme="minorHAnsi"/>
          <w:sz w:val="28"/>
          <w:szCs w:val="28"/>
        </w:rPr>
        <w:t xml:space="preserve">, sentenze n. 40 e n. 39 del 2014 e n. 60 del 2013) fin dalle riforme introdotte dal citato </w:t>
      </w:r>
      <w:proofErr w:type="spellStart"/>
      <w:r w:rsidRPr="004F3E1C">
        <w:rPr>
          <w:rFonts w:asciiTheme="minorHAnsi" w:eastAsiaTheme="minorHAnsi" w:hAnsiTheme="minorHAnsi"/>
          <w:sz w:val="28"/>
          <w:szCs w:val="28"/>
        </w:rPr>
        <w:t>d.l.</w:t>
      </w:r>
      <w:proofErr w:type="spellEnd"/>
      <w:r w:rsidRPr="004F3E1C">
        <w:rPr>
          <w:rFonts w:asciiTheme="minorHAnsi" w:eastAsiaTheme="minorHAnsi" w:hAnsiTheme="minorHAnsi"/>
          <w:sz w:val="28"/>
          <w:szCs w:val="28"/>
        </w:rPr>
        <w:t xml:space="preserve"> n. 174 del 2012.</w:t>
      </w:r>
    </w:p>
    <w:p w:rsidR="005A5D2C" w:rsidRPr="004F3E1C" w:rsidRDefault="005A5D2C" w:rsidP="005A5D2C">
      <w:pPr>
        <w:autoSpaceDE w:val="0"/>
        <w:autoSpaceDN w:val="0"/>
        <w:adjustRightInd w:val="0"/>
        <w:spacing w:after="0" w:line="240" w:lineRule="auto"/>
        <w:jc w:val="both"/>
        <w:rPr>
          <w:rFonts w:asciiTheme="minorHAnsi" w:eastAsiaTheme="minorHAnsi" w:hAnsiTheme="minorHAnsi"/>
          <w:b/>
          <w:sz w:val="28"/>
          <w:szCs w:val="28"/>
        </w:rPr>
      </w:pPr>
      <w:r w:rsidRPr="004F3E1C">
        <w:rPr>
          <w:rFonts w:asciiTheme="minorHAnsi" w:eastAsiaTheme="minorHAnsi" w:hAnsiTheme="minorHAnsi"/>
          <w:sz w:val="28"/>
          <w:szCs w:val="28"/>
        </w:rPr>
        <w:t xml:space="preserve">Come evidenziato nelle richiamate pronunce, la sua disciplina risponde all’esigenza di renderlo funzionale al rispetto dei vincoli nazionali ed europei e di ricondurlo al vaglio unitario di una magistratura specializzata, in modo da affrancarlo da ogni possibile contaminazione di interessi che privilegiano, non di rado, </w:t>
      </w:r>
      <w:r w:rsidRPr="004F3E1C">
        <w:rPr>
          <w:rFonts w:asciiTheme="minorHAnsi" w:eastAsiaTheme="minorHAnsi" w:hAnsiTheme="minorHAnsi"/>
          <w:b/>
          <w:sz w:val="28"/>
          <w:szCs w:val="28"/>
        </w:rPr>
        <w:t xml:space="preserve">la sopravvivenza di situazioni patologiche rispetto al trasparente ripristino degli equilibri di bilancio e della sana gestione finanziaria, elementi questi ultimi che la nuova formulazione </w:t>
      </w:r>
      <w:r w:rsidRPr="004F3E1C">
        <w:rPr>
          <w:rFonts w:asciiTheme="minorHAnsi" w:eastAsiaTheme="minorHAnsi" w:hAnsiTheme="minorHAnsi"/>
          <w:b/>
          <w:sz w:val="28"/>
          <w:szCs w:val="28"/>
        </w:rPr>
        <w:lastRenderedPageBreak/>
        <w:t xml:space="preserve">dell’art. 97, primo comma, </w:t>
      </w:r>
      <w:proofErr w:type="spellStart"/>
      <w:r w:rsidRPr="004F3E1C">
        <w:rPr>
          <w:rFonts w:asciiTheme="minorHAnsi" w:eastAsiaTheme="minorHAnsi" w:hAnsiTheme="minorHAnsi"/>
          <w:b/>
          <w:sz w:val="28"/>
          <w:szCs w:val="28"/>
        </w:rPr>
        <w:t>Cost</w:t>
      </w:r>
      <w:proofErr w:type="spellEnd"/>
      <w:r w:rsidRPr="004F3E1C">
        <w:rPr>
          <w:rFonts w:asciiTheme="minorHAnsi" w:eastAsiaTheme="minorHAnsi" w:hAnsiTheme="minorHAnsi"/>
          <w:b/>
          <w:sz w:val="28"/>
          <w:szCs w:val="28"/>
        </w:rPr>
        <w:t>. collega alla garanzia di legalità, imparzialità ed efficienza dell’azione amministrativa.</w:t>
      </w:r>
    </w:p>
    <w:p w:rsidR="005A5D2C" w:rsidRPr="004F3E1C" w:rsidRDefault="005A5D2C" w:rsidP="005A5D2C">
      <w:pPr>
        <w:autoSpaceDE w:val="0"/>
        <w:autoSpaceDN w:val="0"/>
        <w:adjustRightInd w:val="0"/>
        <w:spacing w:after="0" w:line="240" w:lineRule="auto"/>
        <w:jc w:val="both"/>
        <w:rPr>
          <w:rFonts w:asciiTheme="minorHAnsi" w:eastAsiaTheme="minorHAnsi" w:hAnsiTheme="minorHAnsi"/>
          <w:b/>
          <w:sz w:val="28"/>
          <w:szCs w:val="28"/>
        </w:rPr>
      </w:pPr>
    </w:p>
    <w:p w:rsidR="005A5D2C" w:rsidRPr="004F3E1C" w:rsidRDefault="005A5D2C" w:rsidP="005A5D2C">
      <w:pPr>
        <w:autoSpaceDE w:val="0"/>
        <w:autoSpaceDN w:val="0"/>
        <w:adjustRightInd w:val="0"/>
        <w:spacing w:after="0" w:line="240" w:lineRule="auto"/>
        <w:jc w:val="both"/>
        <w:rPr>
          <w:rFonts w:asciiTheme="minorHAnsi" w:eastAsiaTheme="minorHAnsi" w:hAnsiTheme="minorHAnsi"/>
          <w:b/>
          <w:sz w:val="28"/>
          <w:szCs w:val="28"/>
        </w:rPr>
      </w:pPr>
      <w:proofErr w:type="gramStart"/>
      <w:r w:rsidRPr="004F3E1C">
        <w:rPr>
          <w:rFonts w:asciiTheme="minorHAnsi" w:eastAsiaTheme="minorHAnsi" w:hAnsiTheme="minorHAnsi"/>
          <w:b/>
          <w:sz w:val="28"/>
          <w:szCs w:val="28"/>
        </w:rPr>
        <w:t>….</w:t>
      </w:r>
      <w:proofErr w:type="gramEnd"/>
      <w:r w:rsidRPr="004F3E1C">
        <w:rPr>
          <w:rFonts w:asciiTheme="minorHAnsi" w:eastAsiaTheme="minorHAnsi" w:hAnsiTheme="minorHAnsi"/>
          <w:b/>
          <w:sz w:val="28"/>
          <w:szCs w:val="28"/>
        </w:rPr>
        <w:t>omissis….</w:t>
      </w:r>
    </w:p>
    <w:p w:rsidR="005A5D2C" w:rsidRPr="004F3E1C" w:rsidRDefault="005A5D2C" w:rsidP="005A5D2C">
      <w:pPr>
        <w:autoSpaceDE w:val="0"/>
        <w:autoSpaceDN w:val="0"/>
        <w:adjustRightInd w:val="0"/>
        <w:spacing w:after="0" w:line="240" w:lineRule="auto"/>
        <w:jc w:val="both"/>
        <w:rPr>
          <w:rFonts w:asciiTheme="minorHAnsi" w:eastAsiaTheme="minorHAnsi" w:hAnsiTheme="minorHAnsi"/>
          <w:b/>
          <w:sz w:val="28"/>
          <w:szCs w:val="28"/>
        </w:rPr>
      </w:pPr>
    </w:p>
    <w:p w:rsidR="005A5D2C" w:rsidRPr="004F3E1C" w:rsidRDefault="005A5D2C" w:rsidP="005A5D2C">
      <w:pPr>
        <w:autoSpaceDE w:val="0"/>
        <w:autoSpaceDN w:val="0"/>
        <w:adjustRightInd w:val="0"/>
        <w:spacing w:after="0" w:line="240" w:lineRule="auto"/>
        <w:jc w:val="both"/>
        <w:rPr>
          <w:rFonts w:asciiTheme="minorHAnsi" w:eastAsiaTheme="minorHAnsi" w:hAnsiTheme="minorHAnsi"/>
          <w:b/>
          <w:sz w:val="28"/>
          <w:szCs w:val="28"/>
        </w:rPr>
      </w:pPr>
      <w:r w:rsidRPr="004F3E1C">
        <w:rPr>
          <w:rFonts w:asciiTheme="minorHAnsi" w:eastAsiaTheme="minorHAnsi" w:hAnsiTheme="minorHAnsi"/>
          <w:b/>
          <w:sz w:val="28"/>
          <w:szCs w:val="28"/>
        </w:rPr>
        <w:t>È stato affermato da questa Corte che «[i]l carattere funzionale del bilancio preventivo e di quello successivo, alla cui mancata approvazione, non a caso, l’ordinamento collega il venir meno del consenso della rappresentanza democratica, [risiede essenzialmente nell’assicurare] ai membri della collettività la cognizione delle modalità [di impiego delle risorse e i risultati conseguiti da chi è titolare del mandato elettorale]» (sentenza n. 184 del 2016).</w:t>
      </w:r>
    </w:p>
    <w:p w:rsidR="007331AE" w:rsidRPr="004F3E1C" w:rsidRDefault="007331AE" w:rsidP="007331AE">
      <w:pPr>
        <w:autoSpaceDE w:val="0"/>
        <w:autoSpaceDN w:val="0"/>
        <w:adjustRightInd w:val="0"/>
        <w:spacing w:after="0" w:line="240" w:lineRule="auto"/>
        <w:jc w:val="both"/>
        <w:rPr>
          <w:rFonts w:asciiTheme="minorHAnsi" w:eastAsiaTheme="minorHAnsi" w:hAnsiTheme="minorHAnsi"/>
          <w:sz w:val="28"/>
          <w:szCs w:val="28"/>
        </w:rPr>
      </w:pPr>
      <w:r w:rsidRPr="004F3E1C">
        <w:rPr>
          <w:rFonts w:asciiTheme="minorHAnsi" w:eastAsiaTheme="minorHAnsi" w:hAnsiTheme="minorHAnsi"/>
          <w:sz w:val="28"/>
          <w:szCs w:val="28"/>
        </w:rPr>
        <w:t>Significativamente, le norme che disciplinano a regime la gestione del disavanzo equiparano, a tutti gli effetti, la mancata applicazione di esso all’esercizio in corso alla mancata approvazione del rendiconto. Un così grave evento è esattamente quanto consentito dalla disposizione oggetto del presente giudizio.</w:t>
      </w:r>
    </w:p>
    <w:p w:rsidR="005A5D2C" w:rsidRPr="004F3E1C" w:rsidRDefault="007331AE" w:rsidP="007331AE">
      <w:pPr>
        <w:autoSpaceDE w:val="0"/>
        <w:autoSpaceDN w:val="0"/>
        <w:adjustRightInd w:val="0"/>
        <w:spacing w:after="0" w:line="240" w:lineRule="auto"/>
        <w:jc w:val="both"/>
        <w:rPr>
          <w:rFonts w:asciiTheme="minorHAnsi" w:hAnsiTheme="minorHAnsi"/>
          <w:sz w:val="28"/>
          <w:szCs w:val="28"/>
        </w:rPr>
      </w:pPr>
      <w:r w:rsidRPr="004F3E1C">
        <w:rPr>
          <w:rFonts w:asciiTheme="minorHAnsi" w:eastAsiaTheme="minorHAnsi" w:hAnsiTheme="minorHAnsi"/>
          <w:sz w:val="28"/>
          <w:szCs w:val="28"/>
        </w:rPr>
        <w:t>Ciò la pone, tra l’altro, in contrasto con «un’esigenza sistemica unitaria dell’ordinamento, secondo cui sia la mancata approvazione dei bilanci, sia l’incuria del loro squilibrio strutturale interrompono – in virtù di una presunzione assoluta – il legame fiduciario che caratterizza il mandato elettorale e la rappresentanza democratica degli eletti» (sentenza n. 228 del 2017).</w:t>
      </w:r>
    </w:p>
    <w:p w:rsidR="00547580" w:rsidRPr="004F3E1C" w:rsidRDefault="00547580">
      <w:pPr>
        <w:rPr>
          <w:rFonts w:asciiTheme="minorHAnsi" w:hAnsiTheme="minorHAnsi"/>
          <w:sz w:val="28"/>
          <w:szCs w:val="28"/>
        </w:rPr>
      </w:pPr>
    </w:p>
    <w:p w:rsidR="00C42A38" w:rsidRPr="004F3E1C" w:rsidRDefault="00C42A38">
      <w:pPr>
        <w:rPr>
          <w:rFonts w:asciiTheme="minorHAnsi" w:hAnsiTheme="minorHAnsi"/>
          <w:sz w:val="28"/>
          <w:szCs w:val="28"/>
        </w:rPr>
      </w:pPr>
    </w:p>
    <w:p w:rsidR="00C42A38" w:rsidRPr="004F3E1C" w:rsidRDefault="00C7243C" w:rsidP="00C42A38">
      <w:pPr>
        <w:jc w:val="both"/>
        <w:rPr>
          <w:rFonts w:asciiTheme="minorHAnsi" w:hAnsiTheme="minorHAnsi"/>
          <w:sz w:val="28"/>
          <w:szCs w:val="28"/>
        </w:rPr>
      </w:pPr>
      <w:r w:rsidRPr="004F3E1C">
        <w:rPr>
          <w:rFonts w:asciiTheme="minorHAnsi" w:hAnsiTheme="minorHAnsi"/>
          <w:sz w:val="28"/>
          <w:szCs w:val="28"/>
        </w:rPr>
        <w:t xml:space="preserve">Sentenza Corte </w:t>
      </w:r>
      <w:proofErr w:type="gramStart"/>
      <w:r w:rsidRPr="004F3E1C">
        <w:rPr>
          <w:rFonts w:asciiTheme="minorHAnsi" w:hAnsiTheme="minorHAnsi"/>
          <w:sz w:val="28"/>
          <w:szCs w:val="28"/>
        </w:rPr>
        <w:t>Costituzionale  4</w:t>
      </w:r>
      <w:proofErr w:type="gramEnd"/>
      <w:r w:rsidRPr="004F3E1C">
        <w:rPr>
          <w:rFonts w:asciiTheme="minorHAnsi" w:hAnsiTheme="minorHAnsi"/>
          <w:sz w:val="28"/>
          <w:szCs w:val="28"/>
        </w:rPr>
        <w:t>/2020</w:t>
      </w:r>
    </w:p>
    <w:p w:rsidR="00C7243C" w:rsidRPr="004F3E1C" w:rsidRDefault="00C7243C" w:rsidP="00C42A38">
      <w:pPr>
        <w:jc w:val="both"/>
        <w:rPr>
          <w:rFonts w:asciiTheme="minorHAnsi" w:hAnsiTheme="minorHAnsi"/>
          <w:sz w:val="28"/>
          <w:szCs w:val="28"/>
        </w:rPr>
      </w:pPr>
    </w:p>
    <w:p w:rsidR="00C42A38" w:rsidRPr="004F3E1C" w:rsidRDefault="00C42A38" w:rsidP="00C42A38">
      <w:pPr>
        <w:autoSpaceDE w:val="0"/>
        <w:autoSpaceDN w:val="0"/>
        <w:adjustRightInd w:val="0"/>
        <w:spacing w:after="0" w:line="240" w:lineRule="auto"/>
        <w:jc w:val="both"/>
        <w:rPr>
          <w:rFonts w:asciiTheme="minorHAnsi" w:eastAsiaTheme="minorHAnsi" w:hAnsiTheme="minorHAnsi"/>
          <w:b/>
          <w:sz w:val="28"/>
          <w:szCs w:val="28"/>
        </w:rPr>
      </w:pPr>
      <w:r w:rsidRPr="004F3E1C">
        <w:rPr>
          <w:rFonts w:asciiTheme="minorHAnsi" w:eastAsiaTheme="minorHAnsi" w:hAnsiTheme="minorHAnsi"/>
          <w:sz w:val="28"/>
          <w:szCs w:val="28"/>
        </w:rPr>
        <w:t xml:space="preserve">Tenuto conto dell’accentuata mutevolezza del “tempo finanziario” che determina continue sopravvenienze di natura fattuale e normativa, è proprio il rispetto del principio dell’equilibrio dinamico ad assicurare la bilanciata congiunzione tra il principio di legalità costituzionale dei conti e l’esigenza di un graduale risanamento del deficit, coerente con l’esigenza di mantenere il livello essenziale delle prestazioni sociali durante l’intero periodo di risanamento. </w:t>
      </w:r>
      <w:r w:rsidRPr="004F3E1C">
        <w:rPr>
          <w:rFonts w:asciiTheme="minorHAnsi" w:eastAsiaTheme="minorHAnsi" w:hAnsiTheme="minorHAnsi"/>
          <w:b/>
          <w:sz w:val="28"/>
          <w:szCs w:val="28"/>
        </w:rPr>
        <w:t>È stato in proposito affermato che «[i]l principio dell’equilibrio di bilancio non corrisponde ad un formale pareggio contabile, essendo intrinsecamente collegato alla continua ricerca di una stabilità economica di media e lunga durata, nell’ambito della quale la responsabilità politica del mandato elettorale si esercita, non solo attraverso il rendiconto del realizzato, ma anche in relazione al consumo delle risorse impiegate» (sentenza n. 18 del 2019).</w:t>
      </w:r>
    </w:p>
    <w:p w:rsidR="00C42A38" w:rsidRPr="004F3E1C" w:rsidRDefault="00C42A38" w:rsidP="00C42A38">
      <w:pPr>
        <w:autoSpaceDE w:val="0"/>
        <w:autoSpaceDN w:val="0"/>
        <w:adjustRightInd w:val="0"/>
        <w:spacing w:after="0" w:line="240" w:lineRule="auto"/>
        <w:jc w:val="both"/>
        <w:rPr>
          <w:rFonts w:asciiTheme="minorHAnsi" w:eastAsiaTheme="minorHAnsi" w:hAnsiTheme="minorHAnsi"/>
          <w:sz w:val="28"/>
          <w:szCs w:val="28"/>
        </w:rPr>
      </w:pPr>
      <w:r w:rsidRPr="004F3E1C">
        <w:rPr>
          <w:rFonts w:asciiTheme="minorHAnsi" w:eastAsiaTheme="minorHAnsi" w:hAnsiTheme="minorHAnsi"/>
          <w:sz w:val="28"/>
          <w:szCs w:val="28"/>
        </w:rPr>
        <w:t xml:space="preserve">In definitiva, un esame complessivo dei parametri costituzionali vigenti in </w:t>
      </w:r>
      <w:proofErr w:type="spellStart"/>
      <w:r w:rsidRPr="004F3E1C">
        <w:rPr>
          <w:rFonts w:asciiTheme="minorHAnsi" w:eastAsiaTheme="minorHAnsi" w:hAnsiTheme="minorHAnsi"/>
          <w:sz w:val="28"/>
          <w:szCs w:val="28"/>
        </w:rPr>
        <w:t>subiecta</w:t>
      </w:r>
      <w:proofErr w:type="spellEnd"/>
      <w:r w:rsidRPr="004F3E1C">
        <w:rPr>
          <w:rFonts w:asciiTheme="minorHAnsi" w:eastAsiaTheme="minorHAnsi" w:hAnsiTheme="minorHAnsi"/>
          <w:sz w:val="28"/>
          <w:szCs w:val="28"/>
        </w:rPr>
        <w:t xml:space="preserve"> materia consente di chiarire che: </w:t>
      </w:r>
    </w:p>
    <w:p w:rsidR="00C42A38" w:rsidRPr="004F3E1C" w:rsidRDefault="00C42A38" w:rsidP="00C42A38">
      <w:pPr>
        <w:autoSpaceDE w:val="0"/>
        <w:autoSpaceDN w:val="0"/>
        <w:adjustRightInd w:val="0"/>
        <w:spacing w:after="0" w:line="240" w:lineRule="auto"/>
        <w:jc w:val="both"/>
        <w:rPr>
          <w:rFonts w:asciiTheme="minorHAnsi" w:eastAsiaTheme="minorHAnsi" w:hAnsiTheme="minorHAnsi"/>
          <w:sz w:val="28"/>
          <w:szCs w:val="28"/>
        </w:rPr>
      </w:pPr>
      <w:r w:rsidRPr="004F3E1C">
        <w:rPr>
          <w:rFonts w:asciiTheme="minorHAnsi" w:eastAsiaTheme="minorHAnsi" w:hAnsiTheme="minorHAnsi"/>
          <w:b/>
          <w:sz w:val="28"/>
          <w:szCs w:val="28"/>
        </w:rPr>
        <w:lastRenderedPageBreak/>
        <w:t xml:space="preserve">a) l’equilibrio dei conti è un presupposto della sana gestione finanziaria, del buon andamento e della corretta e ponderata programmazione delle politiche pubbliche (artt. 81 e 97 </w:t>
      </w:r>
      <w:proofErr w:type="spellStart"/>
      <w:r w:rsidRPr="004F3E1C">
        <w:rPr>
          <w:rFonts w:asciiTheme="minorHAnsi" w:eastAsiaTheme="minorHAnsi" w:hAnsiTheme="minorHAnsi"/>
          <w:b/>
          <w:sz w:val="28"/>
          <w:szCs w:val="28"/>
        </w:rPr>
        <w:t>Cost</w:t>
      </w:r>
      <w:proofErr w:type="spellEnd"/>
      <w:r w:rsidRPr="004F3E1C">
        <w:rPr>
          <w:rFonts w:asciiTheme="minorHAnsi" w:eastAsiaTheme="minorHAnsi" w:hAnsiTheme="minorHAnsi"/>
          <w:b/>
          <w:sz w:val="28"/>
          <w:szCs w:val="28"/>
        </w:rPr>
        <w:t>.)</w:t>
      </w:r>
      <w:r w:rsidRPr="004F3E1C">
        <w:rPr>
          <w:rFonts w:asciiTheme="minorHAnsi" w:eastAsiaTheme="minorHAnsi" w:hAnsiTheme="minorHAnsi"/>
          <w:sz w:val="28"/>
          <w:szCs w:val="28"/>
        </w:rPr>
        <w:t xml:space="preserve">; </w:t>
      </w:r>
    </w:p>
    <w:p w:rsidR="00C42A38" w:rsidRPr="004F3E1C" w:rsidRDefault="00C42A38" w:rsidP="00C42A38">
      <w:pPr>
        <w:autoSpaceDE w:val="0"/>
        <w:autoSpaceDN w:val="0"/>
        <w:adjustRightInd w:val="0"/>
        <w:spacing w:after="0" w:line="240" w:lineRule="auto"/>
        <w:jc w:val="both"/>
        <w:rPr>
          <w:rFonts w:asciiTheme="minorHAnsi" w:eastAsiaTheme="minorHAnsi" w:hAnsiTheme="minorHAnsi"/>
          <w:sz w:val="28"/>
          <w:szCs w:val="28"/>
        </w:rPr>
      </w:pPr>
      <w:r w:rsidRPr="004F3E1C">
        <w:rPr>
          <w:rFonts w:asciiTheme="minorHAnsi" w:eastAsiaTheme="minorHAnsi" w:hAnsiTheme="minorHAnsi"/>
          <w:sz w:val="28"/>
          <w:szCs w:val="28"/>
        </w:rPr>
        <w:t>b) in tale prospettiva i deficit causati da inappropriate gestioni devono essere recuperati in tempi ragionevoli e nel rispetto del principio di responsabilità, secondo cui ciascun amministratore democraticamente eletto deve rispondere del proprio operato agli amministrati. A tal fine è stato già chiarito che «</w:t>
      </w:r>
      <w:r w:rsidRPr="004F3E1C">
        <w:rPr>
          <w:rFonts w:asciiTheme="minorHAnsi" w:eastAsiaTheme="minorHAnsi" w:hAnsiTheme="minorHAnsi"/>
          <w:b/>
          <w:sz w:val="28"/>
          <w:szCs w:val="28"/>
        </w:rPr>
        <w:t>la legge di approvazione del rendiconto – indipendentemente dalla compilazione e redazione dei complessi allegati al bilancio previsti dal d.lgs. n. 118 del 2011 – deve contenere, in coerenza con le risultanze di detti allegati, cinque elementi fondamentali</w:t>
      </w:r>
      <w:r w:rsidRPr="004F3E1C">
        <w:rPr>
          <w:rFonts w:asciiTheme="minorHAnsi" w:eastAsiaTheme="minorHAnsi" w:hAnsiTheme="minorHAnsi"/>
          <w:sz w:val="28"/>
          <w:szCs w:val="28"/>
        </w:rPr>
        <w:t xml:space="preserve">: </w:t>
      </w:r>
    </w:p>
    <w:p w:rsidR="00C42A38" w:rsidRPr="004F3E1C" w:rsidRDefault="00C42A38" w:rsidP="00C42A38">
      <w:pPr>
        <w:autoSpaceDE w:val="0"/>
        <w:autoSpaceDN w:val="0"/>
        <w:adjustRightInd w:val="0"/>
        <w:spacing w:after="0" w:line="240" w:lineRule="auto"/>
        <w:jc w:val="both"/>
        <w:rPr>
          <w:rFonts w:asciiTheme="minorHAnsi" w:eastAsiaTheme="minorHAnsi" w:hAnsiTheme="minorHAnsi"/>
          <w:sz w:val="28"/>
          <w:szCs w:val="28"/>
        </w:rPr>
      </w:pPr>
      <w:r w:rsidRPr="004F3E1C">
        <w:rPr>
          <w:rFonts w:asciiTheme="minorHAnsi" w:eastAsiaTheme="minorHAnsi" w:hAnsiTheme="minorHAnsi"/>
          <w:sz w:val="28"/>
          <w:szCs w:val="28"/>
        </w:rPr>
        <w:t xml:space="preserve">a) </w:t>
      </w:r>
      <w:r w:rsidRPr="004F3E1C">
        <w:rPr>
          <w:rFonts w:asciiTheme="minorHAnsi" w:eastAsiaTheme="minorHAnsi" w:hAnsiTheme="minorHAnsi"/>
          <w:b/>
          <w:sz w:val="28"/>
          <w:szCs w:val="28"/>
        </w:rPr>
        <w:t>il risultato di amministrazione espresso secondo l’art. 42 del decreto in questione</w:t>
      </w:r>
      <w:r w:rsidRPr="004F3E1C">
        <w:rPr>
          <w:rFonts w:asciiTheme="minorHAnsi" w:eastAsiaTheme="minorHAnsi" w:hAnsiTheme="minorHAnsi"/>
          <w:sz w:val="28"/>
          <w:szCs w:val="28"/>
        </w:rPr>
        <w:t>;</w:t>
      </w:r>
    </w:p>
    <w:p w:rsidR="00C42A38" w:rsidRPr="004F3E1C" w:rsidRDefault="00C42A38" w:rsidP="00C42A38">
      <w:pPr>
        <w:autoSpaceDE w:val="0"/>
        <w:autoSpaceDN w:val="0"/>
        <w:adjustRightInd w:val="0"/>
        <w:spacing w:after="0" w:line="240" w:lineRule="auto"/>
        <w:jc w:val="both"/>
        <w:rPr>
          <w:rFonts w:asciiTheme="minorHAnsi" w:eastAsiaTheme="minorHAnsi" w:hAnsiTheme="minorHAnsi"/>
          <w:sz w:val="28"/>
          <w:szCs w:val="28"/>
        </w:rPr>
      </w:pPr>
      <w:r w:rsidRPr="004F3E1C">
        <w:rPr>
          <w:rFonts w:asciiTheme="minorHAnsi" w:eastAsiaTheme="minorHAnsi" w:hAnsiTheme="minorHAnsi"/>
          <w:sz w:val="28"/>
          <w:szCs w:val="28"/>
        </w:rPr>
        <w:t xml:space="preserve">b) </w:t>
      </w:r>
      <w:r w:rsidRPr="004F3E1C">
        <w:rPr>
          <w:rFonts w:asciiTheme="minorHAnsi" w:eastAsiaTheme="minorHAnsi" w:hAnsiTheme="minorHAnsi"/>
          <w:b/>
          <w:sz w:val="28"/>
          <w:szCs w:val="28"/>
        </w:rPr>
        <w:t>il risultato della gestione annuale inerente al rendiconto</w:t>
      </w:r>
      <w:r w:rsidRPr="004F3E1C">
        <w:rPr>
          <w:rFonts w:asciiTheme="minorHAnsi" w:eastAsiaTheme="minorHAnsi" w:hAnsiTheme="minorHAnsi"/>
          <w:sz w:val="28"/>
          <w:szCs w:val="28"/>
        </w:rPr>
        <w:t xml:space="preserve">; </w:t>
      </w:r>
    </w:p>
    <w:p w:rsidR="00C42A38" w:rsidRPr="004F3E1C" w:rsidRDefault="00C42A38" w:rsidP="00C42A38">
      <w:pPr>
        <w:autoSpaceDE w:val="0"/>
        <w:autoSpaceDN w:val="0"/>
        <w:adjustRightInd w:val="0"/>
        <w:spacing w:after="0" w:line="240" w:lineRule="auto"/>
        <w:jc w:val="both"/>
        <w:rPr>
          <w:rFonts w:asciiTheme="minorHAnsi" w:eastAsiaTheme="minorHAnsi" w:hAnsiTheme="minorHAnsi"/>
          <w:sz w:val="28"/>
          <w:szCs w:val="28"/>
        </w:rPr>
      </w:pPr>
      <w:r w:rsidRPr="004F3E1C">
        <w:rPr>
          <w:rFonts w:asciiTheme="minorHAnsi" w:eastAsiaTheme="minorHAnsi" w:hAnsiTheme="minorHAnsi"/>
          <w:sz w:val="28"/>
          <w:szCs w:val="28"/>
        </w:rPr>
        <w:t xml:space="preserve">c) </w:t>
      </w:r>
      <w:r w:rsidRPr="004F3E1C">
        <w:rPr>
          <w:rFonts w:asciiTheme="minorHAnsi" w:eastAsiaTheme="minorHAnsi" w:hAnsiTheme="minorHAnsi"/>
          <w:b/>
          <w:sz w:val="28"/>
          <w:szCs w:val="28"/>
        </w:rPr>
        <w:t>lo stato dell’indebitamento e delle eventuali passività dell’ente applicate agli esercizi futuri</w:t>
      </w:r>
      <w:r w:rsidRPr="004F3E1C">
        <w:rPr>
          <w:rFonts w:asciiTheme="minorHAnsi" w:eastAsiaTheme="minorHAnsi" w:hAnsiTheme="minorHAnsi"/>
          <w:sz w:val="28"/>
          <w:szCs w:val="28"/>
        </w:rPr>
        <w:t xml:space="preserve">» (sentenza n. 49 del 2018) poiché la trasparenza dei conti risulta «elemento indefettibile per avvicinare in senso democratico i cittadini all’attività dell’Amministrazione, in quanto consente di valutare in modo obiettivo e informato lo svolgimento del mandato elettorale, e per responsabilizzare gli amministratori» (sentenza n. 49 del 2018); </w:t>
      </w:r>
    </w:p>
    <w:p w:rsidR="00C42A38" w:rsidRPr="004F3E1C" w:rsidRDefault="00C42A38" w:rsidP="00C42A38">
      <w:pPr>
        <w:autoSpaceDE w:val="0"/>
        <w:autoSpaceDN w:val="0"/>
        <w:adjustRightInd w:val="0"/>
        <w:spacing w:after="0" w:line="240" w:lineRule="auto"/>
        <w:jc w:val="both"/>
        <w:rPr>
          <w:rFonts w:asciiTheme="minorHAnsi" w:eastAsiaTheme="minorHAnsi" w:hAnsiTheme="minorHAnsi"/>
          <w:sz w:val="28"/>
          <w:szCs w:val="28"/>
        </w:rPr>
      </w:pPr>
      <w:r w:rsidRPr="004F3E1C">
        <w:rPr>
          <w:rFonts w:asciiTheme="minorHAnsi" w:eastAsiaTheme="minorHAnsi" w:hAnsiTheme="minorHAnsi"/>
          <w:sz w:val="28"/>
          <w:szCs w:val="28"/>
        </w:rPr>
        <w:t xml:space="preserve">d) quando le risorse proprie non consentono ai Comuni, alle Province, alle Città metropolitane e alle Regioni di finanziare integralmente le funzioni pubbliche loro attribuite deve essere lo Stato ad intervenire con apposito fondo perequativo, senza vincoli di destinazione, per i territori con minore capacità fiscale per abitante e con ulteriori risorse aggiuntive ai fini di promozione dello sviluppo economico, della coesione e della solidarietà sociale, per rimuovere gli squilibri economici e sociali, per favorire l’effettivo esercizio dei diritti della persona, o per provvedere a scopi diversi dal normale esercizio delle loro funzioni (art. 119, terzo, quarto e quinto comma, </w:t>
      </w:r>
      <w:proofErr w:type="spellStart"/>
      <w:r w:rsidRPr="004F3E1C">
        <w:rPr>
          <w:rFonts w:asciiTheme="minorHAnsi" w:eastAsiaTheme="minorHAnsi" w:hAnsiTheme="minorHAnsi"/>
          <w:sz w:val="28"/>
          <w:szCs w:val="28"/>
        </w:rPr>
        <w:t>Cost</w:t>
      </w:r>
      <w:proofErr w:type="spellEnd"/>
      <w:r w:rsidRPr="004F3E1C">
        <w:rPr>
          <w:rFonts w:asciiTheme="minorHAnsi" w:eastAsiaTheme="minorHAnsi" w:hAnsiTheme="minorHAnsi"/>
          <w:sz w:val="28"/>
          <w:szCs w:val="28"/>
        </w:rPr>
        <w:t xml:space="preserve">.); </w:t>
      </w:r>
    </w:p>
    <w:p w:rsidR="00C42A38" w:rsidRPr="004F3E1C" w:rsidRDefault="00C42A38" w:rsidP="00C42A38">
      <w:pPr>
        <w:autoSpaceDE w:val="0"/>
        <w:autoSpaceDN w:val="0"/>
        <w:adjustRightInd w:val="0"/>
        <w:spacing w:after="0" w:line="240" w:lineRule="auto"/>
        <w:jc w:val="both"/>
        <w:rPr>
          <w:rFonts w:asciiTheme="minorHAnsi" w:eastAsiaTheme="minorHAnsi" w:hAnsiTheme="minorHAnsi"/>
          <w:b/>
          <w:sz w:val="28"/>
          <w:szCs w:val="28"/>
        </w:rPr>
      </w:pPr>
      <w:r w:rsidRPr="004F3E1C">
        <w:rPr>
          <w:rFonts w:asciiTheme="minorHAnsi" w:eastAsiaTheme="minorHAnsi" w:hAnsiTheme="minorHAnsi"/>
          <w:sz w:val="28"/>
          <w:szCs w:val="28"/>
        </w:rPr>
        <w:t xml:space="preserve">e) </w:t>
      </w:r>
      <w:r w:rsidRPr="004F3E1C">
        <w:rPr>
          <w:rFonts w:asciiTheme="minorHAnsi" w:eastAsiaTheme="minorHAnsi" w:hAnsiTheme="minorHAnsi"/>
          <w:b/>
          <w:sz w:val="28"/>
          <w:szCs w:val="28"/>
        </w:rPr>
        <w:t xml:space="preserve">gli enti territoriali possono ricorrere all’indebitamento solo per finanziare spese di investimento, con modalità equilibrate in rapporto al generale contesto macroeconomico (art. 119, sesto comma, </w:t>
      </w:r>
      <w:proofErr w:type="spellStart"/>
      <w:r w:rsidRPr="004F3E1C">
        <w:rPr>
          <w:rFonts w:asciiTheme="minorHAnsi" w:eastAsiaTheme="minorHAnsi" w:hAnsiTheme="minorHAnsi"/>
          <w:b/>
          <w:sz w:val="28"/>
          <w:szCs w:val="28"/>
        </w:rPr>
        <w:t>Cost</w:t>
      </w:r>
      <w:proofErr w:type="spellEnd"/>
      <w:r w:rsidRPr="004F3E1C">
        <w:rPr>
          <w:rFonts w:asciiTheme="minorHAnsi" w:eastAsiaTheme="minorHAnsi" w:hAnsiTheme="minorHAnsi"/>
          <w:b/>
          <w:sz w:val="28"/>
          <w:szCs w:val="28"/>
        </w:rPr>
        <w:t>.).</w:t>
      </w:r>
    </w:p>
    <w:p w:rsidR="00C7243C" w:rsidRPr="004F3E1C" w:rsidRDefault="00C7243C" w:rsidP="00C42A38">
      <w:pPr>
        <w:autoSpaceDE w:val="0"/>
        <w:autoSpaceDN w:val="0"/>
        <w:adjustRightInd w:val="0"/>
        <w:spacing w:after="0" w:line="240" w:lineRule="auto"/>
        <w:jc w:val="both"/>
        <w:rPr>
          <w:rFonts w:asciiTheme="minorHAnsi" w:eastAsiaTheme="minorHAnsi" w:hAnsiTheme="minorHAnsi"/>
          <w:b/>
          <w:sz w:val="28"/>
          <w:szCs w:val="28"/>
        </w:rPr>
      </w:pPr>
    </w:p>
    <w:p w:rsidR="00C7243C" w:rsidRPr="004F3E1C" w:rsidRDefault="00C7243C" w:rsidP="00C42A38">
      <w:pPr>
        <w:autoSpaceDE w:val="0"/>
        <w:autoSpaceDN w:val="0"/>
        <w:adjustRightInd w:val="0"/>
        <w:spacing w:after="0" w:line="240" w:lineRule="auto"/>
        <w:jc w:val="both"/>
        <w:rPr>
          <w:rFonts w:asciiTheme="minorHAnsi" w:eastAsiaTheme="minorHAnsi" w:hAnsiTheme="minorHAnsi"/>
          <w:b/>
          <w:sz w:val="28"/>
          <w:szCs w:val="28"/>
        </w:rPr>
      </w:pPr>
    </w:p>
    <w:p w:rsidR="00C7243C" w:rsidRPr="004F3E1C" w:rsidRDefault="00C7243C" w:rsidP="00C42A38">
      <w:pPr>
        <w:autoSpaceDE w:val="0"/>
        <w:autoSpaceDN w:val="0"/>
        <w:adjustRightInd w:val="0"/>
        <w:spacing w:after="0" w:line="240" w:lineRule="auto"/>
        <w:jc w:val="both"/>
        <w:rPr>
          <w:rFonts w:asciiTheme="minorHAnsi" w:eastAsiaTheme="minorHAnsi" w:hAnsiTheme="minorHAnsi"/>
          <w:b/>
          <w:sz w:val="28"/>
          <w:szCs w:val="28"/>
        </w:rPr>
      </w:pPr>
      <w:proofErr w:type="gramStart"/>
      <w:r w:rsidRPr="004F3E1C">
        <w:rPr>
          <w:rFonts w:asciiTheme="minorHAnsi" w:eastAsiaTheme="minorHAnsi" w:hAnsiTheme="minorHAnsi"/>
          <w:b/>
          <w:sz w:val="28"/>
          <w:szCs w:val="28"/>
        </w:rPr>
        <w:t>….</w:t>
      </w:r>
      <w:proofErr w:type="gramEnd"/>
      <w:r w:rsidRPr="004F3E1C">
        <w:rPr>
          <w:rFonts w:asciiTheme="minorHAnsi" w:eastAsiaTheme="minorHAnsi" w:hAnsiTheme="minorHAnsi"/>
          <w:b/>
          <w:sz w:val="28"/>
          <w:szCs w:val="28"/>
        </w:rPr>
        <w:t>omissis….</w:t>
      </w:r>
    </w:p>
    <w:p w:rsidR="00C7243C" w:rsidRPr="004F3E1C" w:rsidRDefault="00C7243C" w:rsidP="00C42A38">
      <w:pPr>
        <w:autoSpaceDE w:val="0"/>
        <w:autoSpaceDN w:val="0"/>
        <w:adjustRightInd w:val="0"/>
        <w:spacing w:after="0" w:line="240" w:lineRule="auto"/>
        <w:jc w:val="both"/>
        <w:rPr>
          <w:rFonts w:asciiTheme="minorHAnsi" w:eastAsiaTheme="minorHAnsi" w:hAnsiTheme="minorHAnsi"/>
          <w:b/>
          <w:sz w:val="28"/>
          <w:szCs w:val="28"/>
        </w:rPr>
      </w:pPr>
    </w:p>
    <w:p w:rsidR="00C7243C" w:rsidRPr="004F3E1C" w:rsidRDefault="00C7243C" w:rsidP="00C42A38">
      <w:pPr>
        <w:autoSpaceDE w:val="0"/>
        <w:autoSpaceDN w:val="0"/>
        <w:adjustRightInd w:val="0"/>
        <w:spacing w:after="0" w:line="240" w:lineRule="auto"/>
        <w:jc w:val="both"/>
        <w:rPr>
          <w:rFonts w:asciiTheme="minorHAnsi" w:eastAsiaTheme="minorHAnsi" w:hAnsiTheme="minorHAnsi"/>
          <w:b/>
          <w:sz w:val="28"/>
          <w:szCs w:val="28"/>
        </w:rPr>
      </w:pPr>
    </w:p>
    <w:p w:rsidR="00C7243C" w:rsidRPr="004F3E1C" w:rsidRDefault="00C7243C" w:rsidP="00C7243C">
      <w:pPr>
        <w:autoSpaceDE w:val="0"/>
        <w:autoSpaceDN w:val="0"/>
        <w:adjustRightInd w:val="0"/>
        <w:spacing w:after="0" w:line="240" w:lineRule="auto"/>
        <w:jc w:val="both"/>
        <w:rPr>
          <w:rFonts w:asciiTheme="minorHAnsi" w:eastAsiaTheme="minorHAnsi" w:hAnsiTheme="minorHAnsi"/>
          <w:sz w:val="28"/>
          <w:szCs w:val="28"/>
        </w:rPr>
      </w:pPr>
      <w:r w:rsidRPr="004F3E1C">
        <w:rPr>
          <w:rFonts w:asciiTheme="minorHAnsi" w:eastAsiaTheme="minorHAnsi" w:hAnsiTheme="minorHAnsi"/>
          <w:sz w:val="28"/>
          <w:szCs w:val="28"/>
        </w:rPr>
        <w:t xml:space="preserve">Questa esigenza solidaristica nei confronti delle comunità meno abbienti trova puntuale risposta – come già rilevato – in più articoli della Costituzione e, in particolare, nell’art. 119 </w:t>
      </w:r>
      <w:proofErr w:type="spellStart"/>
      <w:r w:rsidRPr="004F3E1C">
        <w:rPr>
          <w:rFonts w:asciiTheme="minorHAnsi" w:eastAsiaTheme="minorHAnsi" w:hAnsiTheme="minorHAnsi"/>
          <w:sz w:val="28"/>
          <w:szCs w:val="28"/>
        </w:rPr>
        <w:t>Cost</w:t>
      </w:r>
      <w:proofErr w:type="spellEnd"/>
      <w:r w:rsidRPr="004F3E1C">
        <w:rPr>
          <w:rFonts w:asciiTheme="minorHAnsi" w:eastAsiaTheme="minorHAnsi" w:hAnsiTheme="minorHAnsi"/>
          <w:sz w:val="28"/>
          <w:szCs w:val="28"/>
        </w:rPr>
        <w:t>., il quale fissa le forme e i limiti che devono guidare il legislatore ordinario nell’inveramento dei principi ivi indicati.</w:t>
      </w:r>
    </w:p>
    <w:p w:rsidR="00C7243C" w:rsidRPr="004F3E1C" w:rsidRDefault="00C7243C" w:rsidP="00C7243C">
      <w:pPr>
        <w:autoSpaceDE w:val="0"/>
        <w:autoSpaceDN w:val="0"/>
        <w:adjustRightInd w:val="0"/>
        <w:spacing w:after="0" w:line="240" w:lineRule="auto"/>
        <w:jc w:val="both"/>
        <w:rPr>
          <w:rFonts w:asciiTheme="minorHAnsi" w:eastAsiaTheme="minorHAnsi" w:hAnsiTheme="minorHAnsi"/>
          <w:sz w:val="28"/>
          <w:szCs w:val="28"/>
        </w:rPr>
      </w:pPr>
      <w:r w:rsidRPr="004F3E1C">
        <w:rPr>
          <w:rFonts w:asciiTheme="minorHAnsi" w:eastAsiaTheme="minorHAnsi" w:hAnsiTheme="minorHAnsi"/>
          <w:sz w:val="28"/>
          <w:szCs w:val="28"/>
        </w:rPr>
        <w:lastRenderedPageBreak/>
        <w:t>Il richiamato parametro costituzionale bilancia le ragioni dell’autonomia, quelle dei vincoli finanziari dell’Unione europea e quelle della solidarietà verso le comunità economicamente meno munite.</w:t>
      </w:r>
    </w:p>
    <w:p w:rsidR="00C7243C" w:rsidRPr="004F3E1C" w:rsidRDefault="00C7243C" w:rsidP="00C7243C">
      <w:pPr>
        <w:autoSpaceDE w:val="0"/>
        <w:autoSpaceDN w:val="0"/>
        <w:adjustRightInd w:val="0"/>
        <w:spacing w:after="0" w:line="240" w:lineRule="auto"/>
        <w:jc w:val="both"/>
        <w:rPr>
          <w:rFonts w:asciiTheme="minorHAnsi" w:eastAsiaTheme="minorHAnsi" w:hAnsiTheme="minorHAnsi"/>
          <w:b/>
          <w:sz w:val="28"/>
          <w:szCs w:val="28"/>
        </w:rPr>
      </w:pPr>
      <w:r w:rsidRPr="004F3E1C">
        <w:rPr>
          <w:rFonts w:asciiTheme="minorHAnsi" w:eastAsiaTheme="minorHAnsi" w:hAnsiTheme="minorHAnsi"/>
          <w:b/>
          <w:sz w:val="28"/>
          <w:szCs w:val="28"/>
        </w:rPr>
        <w:t>Il primo comma precisa che l’autonomia finanziaria di entrata e di spesa deve essere esercitata nel</w:t>
      </w:r>
    </w:p>
    <w:p w:rsidR="00C7243C" w:rsidRPr="004F3E1C" w:rsidRDefault="00C7243C" w:rsidP="00C7243C">
      <w:pPr>
        <w:autoSpaceDE w:val="0"/>
        <w:autoSpaceDN w:val="0"/>
        <w:adjustRightInd w:val="0"/>
        <w:spacing w:after="0" w:line="240" w:lineRule="auto"/>
        <w:jc w:val="both"/>
        <w:rPr>
          <w:rFonts w:asciiTheme="minorHAnsi" w:eastAsiaTheme="minorHAnsi" w:hAnsiTheme="minorHAnsi"/>
          <w:b/>
          <w:sz w:val="28"/>
          <w:szCs w:val="28"/>
        </w:rPr>
      </w:pPr>
      <w:r w:rsidRPr="004F3E1C">
        <w:rPr>
          <w:rFonts w:asciiTheme="minorHAnsi" w:eastAsiaTheme="minorHAnsi" w:hAnsiTheme="minorHAnsi"/>
          <w:b/>
          <w:sz w:val="28"/>
          <w:szCs w:val="28"/>
        </w:rPr>
        <w:t>rispetto dell’equilibrio del bilancio e che gli enti territoriali devono contribuire, insieme agli altri enti della finanza allargata, all’osservanza dei vincoli derivanti dall’ordinamento dell’Unione europea. In tale prospettiva, l’equilibrio individuale dei singoli enti è un presupposto della sana gestione finanziaria e del corretto esercizio dell’autonomia, nonché del dovere di concorrere a realizzare gli obiettivi macroeconomici nazionali e dell’Unione europea.</w:t>
      </w:r>
    </w:p>
    <w:p w:rsidR="00C7243C" w:rsidRPr="004F3E1C" w:rsidRDefault="00C7243C" w:rsidP="00C7243C">
      <w:pPr>
        <w:autoSpaceDE w:val="0"/>
        <w:autoSpaceDN w:val="0"/>
        <w:adjustRightInd w:val="0"/>
        <w:spacing w:after="0" w:line="240" w:lineRule="auto"/>
        <w:jc w:val="both"/>
        <w:rPr>
          <w:rFonts w:asciiTheme="minorHAnsi" w:eastAsiaTheme="minorHAnsi" w:hAnsiTheme="minorHAnsi"/>
          <w:sz w:val="28"/>
          <w:szCs w:val="28"/>
        </w:rPr>
      </w:pPr>
      <w:r w:rsidRPr="004F3E1C">
        <w:rPr>
          <w:rFonts w:asciiTheme="minorHAnsi" w:eastAsiaTheme="minorHAnsi" w:hAnsiTheme="minorHAnsi"/>
          <w:sz w:val="28"/>
          <w:szCs w:val="28"/>
        </w:rPr>
        <w:t xml:space="preserve">Ne consegue che tutte le disfunzioni – a cominciare da quelle censurate in questa sede – devono essere rimosse e non possono essere computate nell’attivazione dei meccanismi di solidarietà previsti dal terzo, quarto e quinto comma dell’art. 119 </w:t>
      </w:r>
      <w:proofErr w:type="spellStart"/>
      <w:r w:rsidRPr="004F3E1C">
        <w:rPr>
          <w:rFonts w:asciiTheme="minorHAnsi" w:eastAsiaTheme="minorHAnsi" w:hAnsiTheme="minorHAnsi"/>
          <w:sz w:val="28"/>
          <w:szCs w:val="28"/>
        </w:rPr>
        <w:t>Cost</w:t>
      </w:r>
      <w:proofErr w:type="spellEnd"/>
      <w:r w:rsidRPr="004F3E1C">
        <w:rPr>
          <w:rFonts w:asciiTheme="minorHAnsi" w:eastAsiaTheme="minorHAnsi" w:hAnsiTheme="minorHAnsi"/>
          <w:sz w:val="28"/>
          <w:szCs w:val="28"/>
        </w:rPr>
        <w:t>.</w:t>
      </w:r>
    </w:p>
    <w:p w:rsidR="008A0FF2" w:rsidRPr="004F3E1C" w:rsidRDefault="008A0FF2" w:rsidP="00C7243C">
      <w:pPr>
        <w:autoSpaceDE w:val="0"/>
        <w:autoSpaceDN w:val="0"/>
        <w:adjustRightInd w:val="0"/>
        <w:spacing w:after="0" w:line="240" w:lineRule="auto"/>
        <w:jc w:val="both"/>
        <w:rPr>
          <w:rFonts w:asciiTheme="minorHAnsi" w:eastAsiaTheme="minorHAnsi" w:hAnsiTheme="minorHAnsi"/>
          <w:sz w:val="28"/>
          <w:szCs w:val="28"/>
        </w:rPr>
      </w:pPr>
    </w:p>
    <w:p w:rsidR="008A0FF2" w:rsidRPr="004F3E1C" w:rsidRDefault="008A0FF2" w:rsidP="00C7243C">
      <w:pPr>
        <w:autoSpaceDE w:val="0"/>
        <w:autoSpaceDN w:val="0"/>
        <w:adjustRightInd w:val="0"/>
        <w:spacing w:after="0" w:line="240" w:lineRule="auto"/>
        <w:jc w:val="both"/>
        <w:rPr>
          <w:rFonts w:asciiTheme="minorHAnsi" w:eastAsiaTheme="minorHAnsi" w:hAnsiTheme="minorHAnsi"/>
          <w:sz w:val="28"/>
          <w:szCs w:val="28"/>
        </w:rPr>
      </w:pPr>
    </w:p>
    <w:p w:rsidR="008A0FF2" w:rsidRPr="004F3E1C" w:rsidRDefault="008A0FF2" w:rsidP="00C7243C">
      <w:pPr>
        <w:autoSpaceDE w:val="0"/>
        <w:autoSpaceDN w:val="0"/>
        <w:adjustRightInd w:val="0"/>
        <w:spacing w:after="0" w:line="240" w:lineRule="auto"/>
        <w:jc w:val="both"/>
        <w:rPr>
          <w:rFonts w:asciiTheme="minorHAnsi" w:eastAsiaTheme="minorHAnsi" w:hAnsiTheme="minorHAnsi"/>
          <w:sz w:val="28"/>
          <w:szCs w:val="28"/>
        </w:rPr>
      </w:pPr>
    </w:p>
    <w:p w:rsidR="008A0FF2" w:rsidRPr="004F3E1C" w:rsidRDefault="008A0FF2" w:rsidP="00C7243C">
      <w:pPr>
        <w:autoSpaceDE w:val="0"/>
        <w:autoSpaceDN w:val="0"/>
        <w:adjustRightInd w:val="0"/>
        <w:spacing w:after="0" w:line="240" w:lineRule="auto"/>
        <w:jc w:val="both"/>
        <w:rPr>
          <w:rFonts w:asciiTheme="minorHAnsi" w:eastAsiaTheme="minorHAnsi" w:hAnsiTheme="minorHAnsi"/>
          <w:sz w:val="28"/>
          <w:szCs w:val="28"/>
        </w:rPr>
      </w:pPr>
    </w:p>
    <w:p w:rsidR="008A0FF2" w:rsidRPr="004F3E1C" w:rsidRDefault="008A0FF2" w:rsidP="00C7243C">
      <w:pPr>
        <w:autoSpaceDE w:val="0"/>
        <w:autoSpaceDN w:val="0"/>
        <w:adjustRightInd w:val="0"/>
        <w:spacing w:after="0" w:line="240" w:lineRule="auto"/>
        <w:jc w:val="both"/>
        <w:rPr>
          <w:rFonts w:asciiTheme="minorHAnsi" w:eastAsiaTheme="minorHAnsi" w:hAnsiTheme="minorHAnsi"/>
          <w:sz w:val="28"/>
          <w:szCs w:val="28"/>
        </w:rPr>
      </w:pPr>
    </w:p>
    <w:sectPr w:rsidR="008A0FF2" w:rsidRPr="004F3E1C">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4A2" w:rsidRDefault="003964A2" w:rsidP="004F3E1C">
      <w:pPr>
        <w:spacing w:after="0" w:line="240" w:lineRule="auto"/>
      </w:pPr>
      <w:r>
        <w:separator/>
      </w:r>
    </w:p>
  </w:endnote>
  <w:endnote w:type="continuationSeparator" w:id="0">
    <w:p w:rsidR="003964A2" w:rsidRDefault="003964A2" w:rsidP="004F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473244"/>
      <w:docPartObj>
        <w:docPartGallery w:val="Page Numbers (Bottom of Page)"/>
        <w:docPartUnique/>
      </w:docPartObj>
    </w:sdtPr>
    <w:sdtEndPr/>
    <w:sdtContent>
      <w:p w:rsidR="004F3E1C" w:rsidRDefault="004F3E1C">
        <w:pPr>
          <w:pStyle w:val="Pidipagina"/>
          <w:jc w:val="center"/>
        </w:pPr>
        <w:r>
          <w:fldChar w:fldCharType="begin"/>
        </w:r>
        <w:r>
          <w:instrText>PAGE   \* MERGEFORMAT</w:instrText>
        </w:r>
        <w:r>
          <w:fldChar w:fldCharType="separate"/>
        </w:r>
        <w:r w:rsidR="00253E5C">
          <w:rPr>
            <w:noProof/>
          </w:rPr>
          <w:t>5</w:t>
        </w:r>
        <w:r>
          <w:fldChar w:fldCharType="end"/>
        </w:r>
      </w:p>
    </w:sdtContent>
  </w:sdt>
  <w:p w:rsidR="004F3E1C" w:rsidRDefault="004F3E1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4A2" w:rsidRDefault="003964A2" w:rsidP="004F3E1C">
      <w:pPr>
        <w:spacing w:after="0" w:line="240" w:lineRule="auto"/>
      </w:pPr>
      <w:r>
        <w:separator/>
      </w:r>
    </w:p>
  </w:footnote>
  <w:footnote w:type="continuationSeparator" w:id="0">
    <w:p w:rsidR="003964A2" w:rsidRDefault="003964A2" w:rsidP="004F3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B9"/>
    <w:rsid w:val="00106994"/>
    <w:rsid w:val="00166532"/>
    <w:rsid w:val="001B518A"/>
    <w:rsid w:val="00253E5C"/>
    <w:rsid w:val="003666B7"/>
    <w:rsid w:val="003964A2"/>
    <w:rsid w:val="004F3E1C"/>
    <w:rsid w:val="00547580"/>
    <w:rsid w:val="005A5D2C"/>
    <w:rsid w:val="005E76ED"/>
    <w:rsid w:val="00694D64"/>
    <w:rsid w:val="007331AE"/>
    <w:rsid w:val="00750B0D"/>
    <w:rsid w:val="0082273C"/>
    <w:rsid w:val="008A0FF2"/>
    <w:rsid w:val="00974541"/>
    <w:rsid w:val="00AD43B9"/>
    <w:rsid w:val="00C42A38"/>
    <w:rsid w:val="00C7243C"/>
    <w:rsid w:val="00FB1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F4657-FE49-4FA5-B65B-D3592AFB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43B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3E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3E1C"/>
    <w:rPr>
      <w:rFonts w:ascii="Calibri" w:eastAsia="Calibri" w:hAnsi="Calibri" w:cs="Times New Roman"/>
    </w:rPr>
  </w:style>
  <w:style w:type="paragraph" w:styleId="Pidipagina">
    <w:name w:val="footer"/>
    <w:basedOn w:val="Normale"/>
    <w:link w:val="PidipaginaCarattere"/>
    <w:uiPriority w:val="99"/>
    <w:unhideWhenUsed/>
    <w:rsid w:val="004F3E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3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8486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2</cp:revision>
  <dcterms:created xsi:type="dcterms:W3CDTF">2023-01-21T08:44:00Z</dcterms:created>
  <dcterms:modified xsi:type="dcterms:W3CDTF">2023-01-21T08:44:00Z</dcterms:modified>
</cp:coreProperties>
</file>