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762" w:rsidRDefault="00CA4762" w:rsidP="003F302F">
      <w:pPr>
        <w:autoSpaceDE w:val="0"/>
        <w:autoSpaceDN w:val="0"/>
        <w:adjustRightInd w:val="0"/>
        <w:spacing w:after="0" w:line="240" w:lineRule="auto"/>
        <w:jc w:val="both"/>
        <w:rPr>
          <w:rFonts w:ascii="Calibri" w:eastAsia="Calibri" w:hAnsi="Calibri" w:cs="Times New Roman"/>
        </w:rPr>
      </w:pPr>
      <w:bookmarkStart w:id="0" w:name="_GoBack"/>
      <w:bookmarkEnd w:id="0"/>
    </w:p>
    <w:p w:rsidR="00CA4762" w:rsidRPr="00CA4762" w:rsidRDefault="00EF61CB" w:rsidP="003F302F">
      <w:pPr>
        <w:autoSpaceDE w:val="0"/>
        <w:autoSpaceDN w:val="0"/>
        <w:adjustRightInd w:val="0"/>
        <w:spacing w:after="0" w:line="240" w:lineRule="auto"/>
        <w:jc w:val="both"/>
        <w:rPr>
          <w:rFonts w:ascii="Calibri" w:eastAsia="Calibri" w:hAnsi="Calibri" w:cs="Times New Roman"/>
          <w:b/>
          <w:color w:val="FF0000"/>
          <w:sz w:val="32"/>
          <w:szCs w:val="32"/>
        </w:rPr>
      </w:pPr>
      <w:r>
        <w:rPr>
          <w:rFonts w:ascii="Calibri" w:eastAsia="Calibri" w:hAnsi="Calibri" w:cs="Times New Roman"/>
          <w:b/>
          <w:color w:val="FF0000"/>
          <w:sz w:val="32"/>
          <w:szCs w:val="32"/>
        </w:rPr>
        <w:t xml:space="preserve">1 - </w:t>
      </w:r>
      <w:r w:rsidR="00CA4762" w:rsidRPr="00CA4762">
        <w:rPr>
          <w:rFonts w:ascii="Calibri" w:eastAsia="Calibri" w:hAnsi="Calibri" w:cs="Times New Roman"/>
          <w:b/>
          <w:color w:val="FF0000"/>
          <w:sz w:val="32"/>
          <w:szCs w:val="32"/>
        </w:rPr>
        <w:t>La dimensione temporale delle obbligazioni attive e passive d’esercizio</w:t>
      </w:r>
    </w:p>
    <w:p w:rsidR="00CA4762" w:rsidRPr="00CA4762" w:rsidRDefault="00CA4762" w:rsidP="003F302F">
      <w:pPr>
        <w:autoSpaceDE w:val="0"/>
        <w:autoSpaceDN w:val="0"/>
        <w:adjustRightInd w:val="0"/>
        <w:spacing w:after="0" w:line="240" w:lineRule="auto"/>
        <w:jc w:val="both"/>
        <w:rPr>
          <w:rFonts w:ascii="Calibri" w:eastAsia="Calibri" w:hAnsi="Calibri" w:cs="Times New Roman"/>
          <w:color w:val="FF0000"/>
        </w:rPr>
      </w:pPr>
    </w:p>
    <w:p w:rsidR="00CA4762" w:rsidRPr="00CA4762" w:rsidRDefault="00CA4762" w:rsidP="003F302F">
      <w:pPr>
        <w:autoSpaceDE w:val="0"/>
        <w:autoSpaceDN w:val="0"/>
        <w:adjustRightInd w:val="0"/>
        <w:spacing w:after="0" w:line="240" w:lineRule="auto"/>
        <w:jc w:val="both"/>
        <w:rPr>
          <w:rFonts w:ascii="Calibri" w:eastAsia="Calibri" w:hAnsi="Calibri" w:cs="Times New Roman"/>
          <w:color w:val="FF0000"/>
        </w:rPr>
      </w:pPr>
    </w:p>
    <w:p w:rsidR="00CA4762" w:rsidRDefault="00CA4762" w:rsidP="003F302F">
      <w:pPr>
        <w:autoSpaceDE w:val="0"/>
        <w:autoSpaceDN w:val="0"/>
        <w:adjustRightInd w:val="0"/>
        <w:spacing w:after="0" w:line="240" w:lineRule="auto"/>
        <w:jc w:val="both"/>
        <w:rPr>
          <w:rFonts w:ascii="Calibri" w:eastAsia="Calibri" w:hAnsi="Calibri" w:cs="Times New Roman"/>
        </w:rPr>
      </w:pPr>
    </w:p>
    <w:p w:rsidR="00CA4762" w:rsidRDefault="00CA4762" w:rsidP="003F302F">
      <w:pPr>
        <w:autoSpaceDE w:val="0"/>
        <w:autoSpaceDN w:val="0"/>
        <w:adjustRightInd w:val="0"/>
        <w:spacing w:after="0" w:line="240" w:lineRule="auto"/>
        <w:jc w:val="both"/>
        <w:rPr>
          <w:rFonts w:ascii="Calibri" w:eastAsia="Calibri" w:hAnsi="Calibri" w:cs="Times New Roman"/>
        </w:rPr>
      </w:pPr>
    </w:p>
    <w:p w:rsidR="00CA4762" w:rsidRDefault="00CA4762" w:rsidP="003F302F">
      <w:pPr>
        <w:autoSpaceDE w:val="0"/>
        <w:autoSpaceDN w:val="0"/>
        <w:adjustRightInd w:val="0"/>
        <w:spacing w:after="0" w:line="240" w:lineRule="auto"/>
        <w:jc w:val="both"/>
        <w:rPr>
          <w:rFonts w:ascii="Calibri" w:eastAsia="Calibri" w:hAnsi="Calibri" w:cs="Times New Roman"/>
        </w:rPr>
      </w:pPr>
    </w:p>
    <w:p w:rsidR="00CA4762" w:rsidRDefault="00CA4762" w:rsidP="003F302F">
      <w:pPr>
        <w:autoSpaceDE w:val="0"/>
        <w:autoSpaceDN w:val="0"/>
        <w:adjustRightInd w:val="0"/>
        <w:spacing w:after="0" w:line="240" w:lineRule="auto"/>
        <w:jc w:val="both"/>
        <w:rPr>
          <w:rFonts w:ascii="Calibri" w:eastAsia="Calibri" w:hAnsi="Calibri" w:cs="Times New Roman"/>
        </w:rPr>
      </w:pPr>
    </w:p>
    <w:p w:rsidR="003F302F" w:rsidRDefault="00125D84" w:rsidP="009A1585">
      <w:pPr>
        <w:autoSpaceDE w:val="0"/>
        <w:autoSpaceDN w:val="0"/>
        <w:adjustRightInd w:val="0"/>
        <w:spacing w:after="0" w:line="240" w:lineRule="auto"/>
        <w:jc w:val="both"/>
        <w:rPr>
          <w:rFonts w:ascii="Times New Roman" w:hAnsi="Times New Roman" w:cs="Times New Roman"/>
          <w:sz w:val="24"/>
          <w:szCs w:val="24"/>
        </w:rPr>
      </w:pPr>
      <w:r w:rsidRPr="00125D84">
        <w:rPr>
          <w:rFonts w:ascii="Calibri" w:eastAsia="Calibri" w:hAnsi="Calibri" w:cs="Times New Roman"/>
        </w:rPr>
        <w:t>Sentenza Corte Costituzionale 6/2017</w:t>
      </w:r>
      <w:r w:rsidR="003F302F">
        <w:rPr>
          <w:rFonts w:ascii="Calibri" w:eastAsia="Calibri" w:hAnsi="Calibri" w:cs="Times New Roman"/>
        </w:rPr>
        <w:t xml:space="preserve">  </w:t>
      </w:r>
    </w:p>
    <w:p w:rsidR="003F302F" w:rsidRPr="00125D84" w:rsidRDefault="003F302F" w:rsidP="003F302F">
      <w:pPr>
        <w:autoSpaceDE w:val="0"/>
        <w:autoSpaceDN w:val="0"/>
        <w:adjustRightInd w:val="0"/>
        <w:spacing w:after="0" w:line="240" w:lineRule="auto"/>
        <w:rPr>
          <w:rFonts w:ascii="Calibri" w:eastAsia="Calibri" w:hAnsi="Calibri" w:cs="Times New Roman"/>
        </w:rPr>
      </w:pPr>
    </w:p>
    <w:p w:rsidR="00125D84" w:rsidRPr="00125D84" w:rsidRDefault="00125D84" w:rsidP="00125D84">
      <w:pPr>
        <w:rPr>
          <w:rFonts w:ascii="Calibri" w:eastAsia="Calibri" w:hAnsi="Calibri" w:cs="Times New Roman"/>
        </w:rPr>
      </w:pPr>
    </w:p>
    <w:p w:rsidR="00125D84" w:rsidRPr="00125D84" w:rsidRDefault="00125D84" w:rsidP="00125D84">
      <w:pPr>
        <w:jc w:val="both"/>
        <w:rPr>
          <w:rFonts w:ascii="Calibri" w:eastAsia="Calibri" w:hAnsi="Calibri" w:cs="Times New Roman"/>
        </w:rPr>
      </w:pPr>
      <w:r w:rsidRPr="00125D84">
        <w:rPr>
          <w:rFonts w:ascii="Calibri" w:eastAsia="Calibri" w:hAnsi="Calibri" w:cs="Times New Roman"/>
        </w:rPr>
        <w:t xml:space="preserve">Ai fini della presente decisione, nel vastissimo ed articolato ordito normativo contenuto nel richiamato d.lgs. n. 118 del 2011, </w:t>
      </w:r>
      <w:r w:rsidRPr="00125D84">
        <w:rPr>
          <w:rFonts w:ascii="Calibri" w:eastAsia="Calibri" w:hAnsi="Calibri" w:cs="Times New Roman"/>
          <w:b/>
        </w:rPr>
        <w:t>occorre concentrare l’attenzione sul principio della “competenza finanziaria potenziata”, sull’istituto del “fondo pluriennale vincolato” e sull’impatto di tali innovazioni sulle tecniche di copertura della spesa.</w:t>
      </w:r>
      <w:r w:rsidRPr="00125D84">
        <w:rPr>
          <w:rFonts w:ascii="Calibri" w:eastAsia="Calibri" w:hAnsi="Calibri" w:cs="Times New Roman"/>
        </w:rPr>
        <w:t xml:space="preserve"> È in tale prospettiva, infatti, che va inquadrato il contestato disavanzo tecnico, applicato dalla Regione autonoma Sardegna.</w:t>
      </w:r>
    </w:p>
    <w:p w:rsidR="00125D84" w:rsidRPr="00125D84" w:rsidRDefault="00125D84" w:rsidP="00125D84">
      <w:pPr>
        <w:jc w:val="both"/>
        <w:rPr>
          <w:rFonts w:ascii="Calibri" w:eastAsia="Calibri" w:hAnsi="Calibri" w:cs="Times New Roman"/>
          <w:b/>
        </w:rPr>
      </w:pPr>
      <w:r w:rsidRPr="00125D84">
        <w:rPr>
          <w:rFonts w:ascii="Calibri" w:eastAsia="Calibri" w:hAnsi="Calibri" w:cs="Times New Roman"/>
          <w:b/>
        </w:rPr>
        <w:t xml:space="preserve">I caratteri fondamentali della competenza finanziaria potenziata possono essere così sintetizzati: </w:t>
      </w:r>
    </w:p>
    <w:p w:rsidR="00125D84" w:rsidRPr="00125D84" w:rsidRDefault="00125D84" w:rsidP="00125D84">
      <w:pPr>
        <w:jc w:val="both"/>
        <w:rPr>
          <w:rFonts w:ascii="Calibri" w:eastAsia="Calibri" w:hAnsi="Calibri" w:cs="Times New Roman"/>
          <w:b/>
        </w:rPr>
      </w:pPr>
      <w:r w:rsidRPr="00125D84">
        <w:rPr>
          <w:rFonts w:ascii="Calibri" w:eastAsia="Calibri" w:hAnsi="Calibri" w:cs="Times New Roman"/>
          <w:b/>
        </w:rPr>
        <w:t xml:space="preserve">a) rilevanza contabile e giuridica della dimensione temporale delle obbligazioni attive e passive inerenti ai singoli esercizi finanziari; </w:t>
      </w:r>
    </w:p>
    <w:p w:rsidR="00125D84" w:rsidRPr="00125D84" w:rsidRDefault="00125D84" w:rsidP="00125D84">
      <w:pPr>
        <w:jc w:val="both"/>
        <w:rPr>
          <w:rFonts w:ascii="Calibri" w:eastAsia="Calibri" w:hAnsi="Calibri" w:cs="Times New Roman"/>
          <w:b/>
        </w:rPr>
      </w:pPr>
      <w:r w:rsidRPr="00125D84">
        <w:rPr>
          <w:rFonts w:ascii="Calibri" w:eastAsia="Calibri" w:hAnsi="Calibri" w:cs="Times New Roman"/>
          <w:b/>
        </w:rPr>
        <w:t xml:space="preserve">b) natura </w:t>
      </w:r>
      <w:proofErr w:type="spellStart"/>
      <w:r w:rsidRPr="00125D84">
        <w:rPr>
          <w:rFonts w:ascii="Calibri" w:eastAsia="Calibri" w:hAnsi="Calibri" w:cs="Times New Roman"/>
          <w:b/>
        </w:rPr>
        <w:t>autorizzatoria</w:t>
      </w:r>
      <w:proofErr w:type="spellEnd"/>
      <w:r w:rsidRPr="00125D84">
        <w:rPr>
          <w:rFonts w:ascii="Calibri" w:eastAsia="Calibri" w:hAnsi="Calibri" w:cs="Times New Roman"/>
          <w:b/>
        </w:rPr>
        <w:t xml:space="preserve">, non solo del bilancio annuale ma anche di quello triennale, i quali sono stati riuniti in un unico documento; </w:t>
      </w:r>
    </w:p>
    <w:p w:rsidR="003F302F" w:rsidRDefault="00125D84" w:rsidP="00125D84">
      <w:pPr>
        <w:jc w:val="both"/>
        <w:rPr>
          <w:rFonts w:ascii="Calibri" w:eastAsia="Calibri" w:hAnsi="Calibri" w:cs="Times New Roman"/>
          <w:b/>
        </w:rPr>
      </w:pPr>
      <w:r w:rsidRPr="00125D84">
        <w:rPr>
          <w:rFonts w:ascii="Calibri" w:eastAsia="Calibri" w:hAnsi="Calibri" w:cs="Times New Roman"/>
          <w:b/>
        </w:rPr>
        <w:t xml:space="preserve">c) obbligo della copertura finanziaria a prescindere dall’esercizio di imputazione della spesa; </w:t>
      </w:r>
    </w:p>
    <w:p w:rsidR="00125D84" w:rsidRPr="00125D84" w:rsidRDefault="00125D84" w:rsidP="00125D84">
      <w:pPr>
        <w:jc w:val="both"/>
        <w:rPr>
          <w:rFonts w:ascii="Calibri" w:eastAsia="Calibri" w:hAnsi="Calibri" w:cs="Times New Roman"/>
          <w:b/>
        </w:rPr>
      </w:pPr>
      <w:r w:rsidRPr="00125D84">
        <w:rPr>
          <w:rFonts w:ascii="Calibri" w:eastAsia="Calibri" w:hAnsi="Calibri" w:cs="Times New Roman"/>
          <w:b/>
        </w:rPr>
        <w:t xml:space="preserve">d) imputazione dell’accertamento e dell’impegno alle scritture di un esercizio sulla base della scadenza della relativa obbligazione e della sua esigibilità; </w:t>
      </w:r>
    </w:p>
    <w:p w:rsidR="00A763E7" w:rsidRDefault="00A763E7"/>
    <w:p w:rsidR="00125D84" w:rsidRDefault="00125D84"/>
    <w:p w:rsidR="00125D84" w:rsidRDefault="00125D84"/>
    <w:p w:rsidR="0019125A" w:rsidRDefault="0019125A"/>
    <w:p w:rsidR="0019125A" w:rsidRDefault="0019125A"/>
    <w:p w:rsidR="0019125A" w:rsidRDefault="0019125A"/>
    <w:p w:rsidR="0019125A" w:rsidRDefault="0019125A"/>
    <w:p w:rsidR="0019125A" w:rsidRDefault="0019125A"/>
    <w:p w:rsidR="0019125A" w:rsidRDefault="0019125A"/>
    <w:p w:rsidR="0019125A" w:rsidRDefault="0019125A"/>
    <w:p w:rsidR="0019125A" w:rsidRDefault="0019125A"/>
    <w:p w:rsidR="0019125A" w:rsidRDefault="0019125A"/>
    <w:p w:rsidR="009A1585" w:rsidRDefault="009A1585" w:rsidP="00EF61CB">
      <w:pPr>
        <w:jc w:val="both"/>
        <w:rPr>
          <w:b/>
          <w:color w:val="FF0000"/>
          <w:sz w:val="32"/>
          <w:szCs w:val="32"/>
        </w:rPr>
      </w:pPr>
    </w:p>
    <w:p w:rsidR="009A1585" w:rsidRDefault="009A1585" w:rsidP="00EF61CB">
      <w:pPr>
        <w:jc w:val="both"/>
        <w:rPr>
          <w:b/>
          <w:color w:val="FF0000"/>
          <w:sz w:val="32"/>
          <w:szCs w:val="32"/>
        </w:rPr>
      </w:pPr>
    </w:p>
    <w:p w:rsidR="00EF61CB" w:rsidRPr="00CA4762" w:rsidRDefault="00EF61CB" w:rsidP="00EF61CB">
      <w:pPr>
        <w:jc w:val="both"/>
        <w:rPr>
          <w:b/>
          <w:color w:val="FF0000"/>
          <w:sz w:val="32"/>
          <w:szCs w:val="32"/>
        </w:rPr>
      </w:pPr>
      <w:r>
        <w:rPr>
          <w:b/>
          <w:color w:val="FF0000"/>
          <w:sz w:val="32"/>
          <w:szCs w:val="32"/>
        </w:rPr>
        <w:t xml:space="preserve">2 - </w:t>
      </w:r>
      <w:r w:rsidRPr="00CA4762">
        <w:rPr>
          <w:b/>
          <w:color w:val="FF0000"/>
          <w:sz w:val="32"/>
          <w:szCs w:val="32"/>
        </w:rPr>
        <w:t>Il “governo” degli equilibri di bilancio: ricaduta sulle responsabilità apicali dell’</w:t>
      </w:r>
      <w:r>
        <w:rPr>
          <w:b/>
          <w:color w:val="FF0000"/>
          <w:sz w:val="32"/>
          <w:szCs w:val="32"/>
        </w:rPr>
        <w:t>ente</w:t>
      </w:r>
    </w:p>
    <w:p w:rsidR="00EF61CB" w:rsidRDefault="00EF61CB" w:rsidP="00EF61CB">
      <w:pPr>
        <w:rPr>
          <w:rFonts w:ascii="Calibri" w:eastAsia="Calibri" w:hAnsi="Calibri" w:cs="Times New Roman"/>
          <w:highlight w:val="yellow"/>
        </w:rPr>
      </w:pPr>
    </w:p>
    <w:p w:rsidR="00EF61CB" w:rsidRDefault="00EF61CB" w:rsidP="00EF61CB">
      <w:pPr>
        <w:rPr>
          <w:rFonts w:ascii="Calibri" w:eastAsia="Calibri" w:hAnsi="Calibri" w:cs="Times New Roman"/>
          <w:highlight w:val="yellow"/>
        </w:rPr>
      </w:pPr>
    </w:p>
    <w:p w:rsidR="00EF61CB" w:rsidRDefault="00EF61CB" w:rsidP="00EF61CB">
      <w:pPr>
        <w:rPr>
          <w:rFonts w:ascii="Calibri" w:eastAsia="Calibri" w:hAnsi="Calibri" w:cs="Times New Roman"/>
          <w:highlight w:val="yellow"/>
        </w:rPr>
      </w:pPr>
    </w:p>
    <w:p w:rsidR="00EF61CB" w:rsidRDefault="00EF61CB" w:rsidP="00EF61CB">
      <w:pPr>
        <w:pStyle w:val="Nessunaspaziatura"/>
        <w:jc w:val="both"/>
      </w:pPr>
      <w:r w:rsidRPr="00CA4762">
        <w:t>Art. 97</w:t>
      </w:r>
      <w:r>
        <w:t xml:space="preserve"> Costituzione, primo comma: </w:t>
      </w:r>
      <w:r w:rsidRPr="00CA4762">
        <w:t xml:space="preserve"> </w:t>
      </w:r>
    </w:p>
    <w:p w:rsidR="00EF61CB" w:rsidRPr="00CA4762" w:rsidRDefault="00EF61CB" w:rsidP="00EF61CB">
      <w:pPr>
        <w:pStyle w:val="Nessunaspaziatura"/>
        <w:jc w:val="both"/>
        <w:rPr>
          <w:b/>
          <w:highlight w:val="yellow"/>
        </w:rPr>
      </w:pPr>
      <w:r w:rsidRPr="00CA4762">
        <w:rPr>
          <w:b/>
        </w:rPr>
        <w:t xml:space="preserve">Le pubbliche amministrazioni, in coerenza con l'ordinamento dell'Unione europea, assicurano l'equilibrio dei bilanci e la sostenibilità del debito pubblico. </w:t>
      </w:r>
    </w:p>
    <w:p w:rsidR="00EF61CB" w:rsidRDefault="00EF61CB" w:rsidP="00EF61CB">
      <w:pPr>
        <w:rPr>
          <w:rFonts w:ascii="Calibri" w:eastAsia="Calibri" w:hAnsi="Calibri" w:cs="Times New Roman"/>
          <w:highlight w:val="yellow"/>
        </w:rPr>
      </w:pPr>
    </w:p>
    <w:p w:rsidR="00EF61CB" w:rsidRDefault="00EF61CB" w:rsidP="00EF61CB">
      <w:pPr>
        <w:rPr>
          <w:rFonts w:ascii="Calibri" w:eastAsia="Calibri" w:hAnsi="Calibri" w:cs="Times New Roman"/>
          <w:highlight w:val="yellow"/>
        </w:rPr>
      </w:pPr>
    </w:p>
    <w:p w:rsidR="00EF61CB" w:rsidRPr="00125D84" w:rsidRDefault="00EF61CB" w:rsidP="00EF61CB">
      <w:pPr>
        <w:rPr>
          <w:rFonts w:ascii="Calibri" w:eastAsia="Calibri" w:hAnsi="Calibri" w:cs="Times New Roman"/>
          <w:highlight w:val="yellow"/>
        </w:rPr>
      </w:pPr>
    </w:p>
    <w:p w:rsidR="009A1585" w:rsidRDefault="009A1585" w:rsidP="00EF61CB">
      <w:pPr>
        <w:jc w:val="both"/>
        <w:rPr>
          <w:rFonts w:ascii="Calibri" w:eastAsia="Calibri" w:hAnsi="Calibri" w:cs="Times New Roman"/>
        </w:rPr>
      </w:pPr>
    </w:p>
    <w:p w:rsidR="00EF61CB" w:rsidRPr="00125D84" w:rsidRDefault="00EF61CB" w:rsidP="009A1585">
      <w:pPr>
        <w:jc w:val="both"/>
        <w:rPr>
          <w:rFonts w:ascii="Calibri" w:eastAsia="Calibri" w:hAnsi="Calibri" w:cs="Times New Roman"/>
          <w:highlight w:val="yellow"/>
        </w:rPr>
      </w:pPr>
      <w:r w:rsidRPr="00125D84">
        <w:rPr>
          <w:rFonts w:ascii="Calibri" w:eastAsia="Calibri" w:hAnsi="Calibri" w:cs="Times New Roman"/>
        </w:rPr>
        <w:t>Sentenza Corte Costituzionale n. 6/2017</w:t>
      </w:r>
    </w:p>
    <w:p w:rsidR="00EF61CB" w:rsidRPr="00125D84" w:rsidRDefault="00EF61CB" w:rsidP="00EF61CB">
      <w:pPr>
        <w:jc w:val="both"/>
        <w:rPr>
          <w:rFonts w:ascii="Calibri" w:eastAsia="Calibri" w:hAnsi="Calibri" w:cs="Times New Roman"/>
          <w:b/>
        </w:rPr>
      </w:pPr>
      <w:r w:rsidRPr="00125D84">
        <w:rPr>
          <w:rFonts w:ascii="Calibri" w:eastAsia="Calibri" w:hAnsi="Calibri" w:cs="Times New Roman"/>
        </w:rPr>
        <w:t xml:space="preserve">Attraverso una necessaria sintesi e semplificazione delle criticità che caratterizzano la regolazione e la gestione finanziaria, può dirsi che </w:t>
      </w:r>
      <w:r w:rsidRPr="00125D84">
        <w:rPr>
          <w:rFonts w:ascii="Calibri" w:eastAsia="Calibri" w:hAnsi="Calibri" w:cs="Times New Roman"/>
          <w:b/>
        </w:rPr>
        <w:t>le minacce più sensibili all’equilibrio dei bilanci pubblici, ed in particolare a quello dei bilanci degli enti territoriali, vengono dalle problematiche giuridiche, estimatorie ed organizzative afferenti ai crediti e ai debiti, nonché dalla sovrastima – in sede previsionale – dei flussi finanziari di entrata.</w:t>
      </w:r>
    </w:p>
    <w:p w:rsidR="00EF61CB" w:rsidRPr="00125D84" w:rsidRDefault="00EF61CB" w:rsidP="00EF61CB">
      <w:pPr>
        <w:rPr>
          <w:rFonts w:ascii="Calibri" w:eastAsia="Calibri" w:hAnsi="Calibri" w:cs="Times New Roman"/>
        </w:rPr>
      </w:pPr>
    </w:p>
    <w:p w:rsidR="00EF61CB" w:rsidRPr="00125D84" w:rsidRDefault="00EF61CB" w:rsidP="00EF61CB">
      <w:pPr>
        <w:rPr>
          <w:rFonts w:ascii="Calibri" w:eastAsia="Calibri" w:hAnsi="Calibri" w:cs="Times New Roman"/>
        </w:rPr>
      </w:pPr>
    </w:p>
    <w:p w:rsidR="00EF61CB" w:rsidRPr="00125D84" w:rsidRDefault="00EF61CB" w:rsidP="00EF61CB">
      <w:pPr>
        <w:jc w:val="both"/>
        <w:rPr>
          <w:rFonts w:ascii="Calibri" w:eastAsia="Calibri" w:hAnsi="Calibri" w:cs="Times New Roman"/>
          <w:b/>
        </w:rPr>
      </w:pPr>
      <w:r w:rsidRPr="00125D84">
        <w:rPr>
          <w:rFonts w:ascii="Calibri" w:eastAsia="Calibri" w:hAnsi="Calibri" w:cs="Times New Roman"/>
        </w:rPr>
        <w:t xml:space="preserve">In una precedente fattispecie di copertura con rinvio ad esercizi futuri, questa Corte – sempre con riguardo alla Regione autonoma Sardegna – ha affermato che </w:t>
      </w:r>
      <w:r w:rsidRPr="00125D84">
        <w:rPr>
          <w:rFonts w:ascii="Calibri" w:eastAsia="Calibri" w:hAnsi="Calibri" w:cs="Times New Roman"/>
          <w:b/>
        </w:rPr>
        <w:t>«l’obbligo di copertura deve essere osservato con puntualità rigorosa nei confronti delle spese che incidono su un esercizio in corso e deve valutarsi il tendenziale equilibrio tra entrate ed uscite nel lungo periodo, valutando gli oneri già gravanti sugli esercizi futuri (sentenza n. 384 del 1991).</w:t>
      </w:r>
      <w:r w:rsidRPr="00125D84">
        <w:rPr>
          <w:rFonts w:ascii="Calibri" w:eastAsia="Calibri" w:hAnsi="Calibri" w:cs="Times New Roman"/>
        </w:rPr>
        <w:t xml:space="preserve"> […] </w:t>
      </w:r>
      <w:r w:rsidRPr="00125D84">
        <w:rPr>
          <w:rFonts w:ascii="Calibri" w:eastAsia="Calibri" w:hAnsi="Calibri" w:cs="Times New Roman"/>
          <w:b/>
        </w:rPr>
        <w:t>È per questo che l’art. 81, quarto [ora terzo] comma, della Costituzione, pone il principio fondamentale della copertura delle spese, richiedendo la contestualità tanto dei presupposti che giustificano le previsioni di spesa quanto di quelli posti a fondamento delle previsioni di entrata necessarie per la copertura finanziaria delle prime. In questo quadro è evidente che la copertura di spese mediante crediti futuri, lede il suddetto principio costituzionale […]. Un siffatto sistema di copertura mediante crediti non ancora venuti a scadenza contraddice peraltro la stessa definizione di “accertamento dell’entrata”, poiché è tale quella che si prevede di aver diritto di percepire nell’esercizio finanziario di riferimento e non in un esercizio futuro» (sentenza n. 213 del 2008).</w:t>
      </w:r>
    </w:p>
    <w:p w:rsidR="00EF61CB" w:rsidRPr="00125D84" w:rsidRDefault="00EF61CB" w:rsidP="00EF61CB">
      <w:pPr>
        <w:rPr>
          <w:rFonts w:ascii="Calibri" w:eastAsia="Calibri" w:hAnsi="Calibri" w:cs="Times New Roman"/>
        </w:rPr>
      </w:pPr>
    </w:p>
    <w:p w:rsidR="0093467E" w:rsidRDefault="0093467E" w:rsidP="00EF61CB">
      <w:pPr>
        <w:rPr>
          <w:rFonts w:ascii="Calibri" w:eastAsia="Calibri" w:hAnsi="Calibri" w:cs="Times New Roman"/>
        </w:rPr>
      </w:pPr>
    </w:p>
    <w:p w:rsidR="0093467E" w:rsidRDefault="0093467E" w:rsidP="00EF61CB">
      <w:pPr>
        <w:rPr>
          <w:rFonts w:ascii="Calibri" w:eastAsia="Calibri" w:hAnsi="Calibri" w:cs="Times New Roman"/>
        </w:rPr>
      </w:pPr>
    </w:p>
    <w:p w:rsidR="0093467E" w:rsidRDefault="0093467E" w:rsidP="00EF61CB">
      <w:pPr>
        <w:rPr>
          <w:rFonts w:ascii="Calibri" w:eastAsia="Calibri" w:hAnsi="Calibri" w:cs="Times New Roman"/>
        </w:rPr>
      </w:pPr>
    </w:p>
    <w:p w:rsidR="0093467E" w:rsidRDefault="0093467E" w:rsidP="00EF61CB">
      <w:pPr>
        <w:rPr>
          <w:rFonts w:ascii="Calibri" w:eastAsia="Calibri" w:hAnsi="Calibri" w:cs="Times New Roman"/>
        </w:rPr>
      </w:pPr>
    </w:p>
    <w:p w:rsidR="0093467E" w:rsidRDefault="0093467E" w:rsidP="00EF61CB">
      <w:pPr>
        <w:rPr>
          <w:rFonts w:ascii="Calibri" w:eastAsia="Calibri" w:hAnsi="Calibri" w:cs="Times New Roman"/>
        </w:rPr>
      </w:pPr>
    </w:p>
    <w:p w:rsidR="00EF61CB" w:rsidRPr="00125D84" w:rsidRDefault="00EF61CB" w:rsidP="00EF61CB">
      <w:pPr>
        <w:rPr>
          <w:rFonts w:ascii="Calibri" w:eastAsia="Calibri" w:hAnsi="Calibri" w:cs="Times New Roman"/>
        </w:rPr>
      </w:pPr>
      <w:r w:rsidRPr="00125D84">
        <w:rPr>
          <w:rFonts w:ascii="Calibri" w:eastAsia="Calibri" w:hAnsi="Calibri" w:cs="Times New Roman"/>
        </w:rPr>
        <w:t>Sentenza Corte Costituzionale n. 250/2013</w:t>
      </w:r>
    </w:p>
    <w:p w:rsidR="00EF61CB" w:rsidRPr="00125D84" w:rsidRDefault="00EF61CB" w:rsidP="00EF61CB">
      <w:pPr>
        <w:rPr>
          <w:rFonts w:ascii="Calibri" w:eastAsia="Calibri" w:hAnsi="Calibri" w:cs="Times New Roman"/>
        </w:rPr>
      </w:pPr>
    </w:p>
    <w:p w:rsidR="00EF61CB" w:rsidRPr="00125D84" w:rsidRDefault="00EF61CB" w:rsidP="00EF61CB">
      <w:pPr>
        <w:jc w:val="both"/>
        <w:rPr>
          <w:rFonts w:ascii="Calibri" w:eastAsia="Calibri" w:hAnsi="Calibri" w:cs="Times New Roman"/>
          <w:b/>
        </w:rPr>
      </w:pPr>
      <w:r w:rsidRPr="00125D84">
        <w:rPr>
          <w:rFonts w:ascii="Calibri" w:eastAsia="Calibri" w:hAnsi="Calibri" w:cs="Times New Roman"/>
          <w:b/>
        </w:rPr>
        <w:t xml:space="preserve">Il principio dell’equilibrio tendenziale del bilancio «consiste nella continua ricerca di un armonico e simmetrico bilanciamento tra risorse disponibili e spese necessarie per il perseguimento delle finalità pubbliche» </w:t>
      </w:r>
    </w:p>
    <w:p w:rsidR="00EF61CB" w:rsidRPr="00125D84" w:rsidRDefault="00EF61CB" w:rsidP="00EF61CB">
      <w:pPr>
        <w:jc w:val="both"/>
        <w:rPr>
          <w:rFonts w:ascii="Calibri" w:eastAsia="Calibri" w:hAnsi="Calibri" w:cs="Times New Roman"/>
          <w:b/>
        </w:rPr>
      </w:pPr>
    </w:p>
    <w:p w:rsidR="00EF61CB" w:rsidRPr="00125D84" w:rsidRDefault="00EF61CB" w:rsidP="00EF61CB">
      <w:pPr>
        <w:jc w:val="both"/>
        <w:rPr>
          <w:rFonts w:ascii="Calibri" w:eastAsia="Calibri" w:hAnsi="Calibri" w:cs="Times New Roman"/>
        </w:rPr>
      </w:pPr>
      <w:r w:rsidRPr="00125D84">
        <w:rPr>
          <w:rFonts w:ascii="Calibri" w:eastAsia="Calibri" w:hAnsi="Calibri" w:cs="Times New Roman"/>
        </w:rPr>
        <w:t xml:space="preserve">Sentenza Corte </w:t>
      </w:r>
      <w:proofErr w:type="gramStart"/>
      <w:r w:rsidRPr="00125D84">
        <w:rPr>
          <w:rFonts w:ascii="Calibri" w:eastAsia="Calibri" w:hAnsi="Calibri" w:cs="Times New Roman"/>
        </w:rPr>
        <w:t>Costituzionale  70</w:t>
      </w:r>
      <w:proofErr w:type="gramEnd"/>
      <w:r w:rsidRPr="00125D84">
        <w:rPr>
          <w:rFonts w:ascii="Calibri" w:eastAsia="Calibri" w:hAnsi="Calibri" w:cs="Times New Roman"/>
        </w:rPr>
        <w:t xml:space="preserve"> / 2012 </w:t>
      </w:r>
    </w:p>
    <w:p w:rsidR="00EF61CB" w:rsidRPr="00125D84" w:rsidRDefault="00EF61CB" w:rsidP="00EF61CB">
      <w:pPr>
        <w:spacing w:before="100" w:beforeAutospacing="1" w:after="100" w:afterAutospacing="1" w:line="240" w:lineRule="auto"/>
        <w:rPr>
          <w:rFonts w:ascii="Arial" w:eastAsia="Times New Roman" w:hAnsi="Arial" w:cs="Arial"/>
          <w:sz w:val="18"/>
          <w:szCs w:val="18"/>
          <w:lang w:eastAsia="it-IT"/>
        </w:rPr>
      </w:pPr>
    </w:p>
    <w:p w:rsidR="00EF61CB" w:rsidRPr="00125D84" w:rsidRDefault="00EF61CB" w:rsidP="00EF61CB">
      <w:pPr>
        <w:spacing w:before="100" w:beforeAutospacing="1" w:after="100" w:afterAutospacing="1" w:line="240" w:lineRule="auto"/>
        <w:jc w:val="both"/>
        <w:rPr>
          <w:rFonts w:ascii="Calibri" w:eastAsia="Times New Roman" w:hAnsi="Calibri" w:cs="Calibri"/>
          <w:b/>
          <w:lang w:eastAsia="it-IT"/>
        </w:rPr>
      </w:pPr>
      <w:r w:rsidRPr="00125D84">
        <w:rPr>
          <w:rFonts w:ascii="Calibri" w:eastAsia="Times New Roman" w:hAnsi="Calibri" w:cs="Calibri"/>
          <w:b/>
          <w:lang w:eastAsia="it-IT"/>
        </w:rPr>
        <w:t xml:space="preserve">Nell’ordinamento finanziario delle amministrazioni pubbliche i principi del pareggio e dell’equilibrio tendenziale fissati nell’art. 81, quarto comma, </w:t>
      </w:r>
      <w:proofErr w:type="spellStart"/>
      <w:r w:rsidRPr="00125D84">
        <w:rPr>
          <w:rFonts w:ascii="Calibri" w:eastAsia="Times New Roman" w:hAnsi="Calibri" w:cs="Calibri"/>
          <w:b/>
          <w:lang w:eastAsia="it-IT"/>
        </w:rPr>
        <w:t>Cost</w:t>
      </w:r>
      <w:proofErr w:type="spellEnd"/>
      <w:r w:rsidRPr="00125D84">
        <w:rPr>
          <w:rFonts w:ascii="Calibri" w:eastAsia="Times New Roman" w:hAnsi="Calibri" w:cs="Calibri"/>
          <w:b/>
          <w:lang w:eastAsia="it-IT"/>
        </w:rPr>
        <w:t xml:space="preserve">.  si realizzano attraverso due regole, una statica e l’altra dinamica: la prima consiste nella parificazione delle previsioni di entrata e spesa; la seconda, fondata sul carattere </w:t>
      </w:r>
      <w:proofErr w:type="spellStart"/>
      <w:r w:rsidRPr="00125D84">
        <w:rPr>
          <w:rFonts w:ascii="Calibri" w:eastAsia="Times New Roman" w:hAnsi="Calibri" w:cs="Calibri"/>
          <w:b/>
          <w:lang w:eastAsia="it-IT"/>
        </w:rPr>
        <w:t>autorizzatorio</w:t>
      </w:r>
      <w:proofErr w:type="spellEnd"/>
      <w:r w:rsidRPr="00125D84">
        <w:rPr>
          <w:rFonts w:ascii="Calibri" w:eastAsia="Times New Roman" w:hAnsi="Calibri" w:cs="Calibri"/>
          <w:b/>
          <w:lang w:eastAsia="it-IT"/>
        </w:rPr>
        <w:t xml:space="preserve"> del bilancio preventivo, non consente di superare in corso di esercizio gli stanziamenti dallo stesso consentiti. </w:t>
      </w:r>
    </w:p>
    <w:p w:rsidR="00EF61CB" w:rsidRPr="00125D84" w:rsidRDefault="00EF61CB" w:rsidP="00EF61CB">
      <w:pPr>
        <w:spacing w:before="100" w:beforeAutospacing="1" w:after="100" w:afterAutospacing="1" w:line="240" w:lineRule="auto"/>
        <w:jc w:val="both"/>
        <w:rPr>
          <w:rFonts w:ascii="Calibri" w:eastAsia="Times New Roman" w:hAnsi="Calibri" w:cs="Calibri"/>
          <w:b/>
          <w:lang w:eastAsia="it-IT"/>
        </w:rPr>
      </w:pPr>
      <w:r w:rsidRPr="00125D84">
        <w:rPr>
          <w:rFonts w:ascii="Calibri" w:eastAsia="Times New Roman" w:hAnsi="Calibri" w:cs="Calibri"/>
          <w:b/>
          <w:lang w:eastAsia="it-IT"/>
        </w:rPr>
        <w:t xml:space="preserve">La loro combinazione protegge l’equilibrio tendenziale in corso di esercizio “a condizione che le pertinenti risorse correlate siano effettive e congruenti”. </w:t>
      </w:r>
    </w:p>
    <w:p w:rsidR="009A1585" w:rsidRDefault="009A1585" w:rsidP="00EF61CB">
      <w:pPr>
        <w:spacing w:before="100" w:beforeAutospacing="1" w:after="100" w:afterAutospacing="1" w:line="240" w:lineRule="auto"/>
        <w:jc w:val="both"/>
        <w:rPr>
          <w:rFonts w:ascii="Calibri" w:eastAsia="Calibri" w:hAnsi="Calibri" w:cs="Times New Roman"/>
        </w:rPr>
      </w:pPr>
    </w:p>
    <w:p w:rsidR="00EF61CB" w:rsidRPr="00125D84" w:rsidRDefault="00EF61CB" w:rsidP="00EF61CB">
      <w:pPr>
        <w:spacing w:before="100" w:beforeAutospacing="1" w:after="100" w:afterAutospacing="1" w:line="240" w:lineRule="auto"/>
        <w:jc w:val="both"/>
        <w:rPr>
          <w:rFonts w:ascii="Calibri" w:eastAsia="Calibri" w:hAnsi="Calibri" w:cs="Times New Roman"/>
          <w:b/>
        </w:rPr>
      </w:pPr>
      <w:r w:rsidRPr="00125D84">
        <w:rPr>
          <w:rFonts w:ascii="Calibri" w:eastAsia="Calibri" w:hAnsi="Calibri" w:cs="Times New Roman"/>
        </w:rPr>
        <w:t xml:space="preserve">Caratteristica fondamentale del bilancio di previsione è quella di riferirsi alle operazioni ipotizzate nell’esercizio di riferimento, le quali – proprio </w:t>
      </w:r>
      <w:r w:rsidRPr="00125D84">
        <w:rPr>
          <w:rFonts w:ascii="Calibri" w:eastAsia="Calibri" w:hAnsi="Calibri" w:cs="Times New Roman"/>
          <w:b/>
        </w:rPr>
        <w:t xml:space="preserve">in base al principio costituzionale dell’equilibrio tendenziale tra spese ed entrate di cui all’art. 81, quarto comma, </w:t>
      </w:r>
      <w:proofErr w:type="spellStart"/>
      <w:r w:rsidRPr="00125D84">
        <w:rPr>
          <w:rFonts w:ascii="Calibri" w:eastAsia="Calibri" w:hAnsi="Calibri" w:cs="Times New Roman"/>
          <w:b/>
        </w:rPr>
        <w:t>Cost</w:t>
      </w:r>
      <w:proofErr w:type="spellEnd"/>
      <w:r w:rsidRPr="00125D84">
        <w:rPr>
          <w:rFonts w:ascii="Calibri" w:eastAsia="Calibri" w:hAnsi="Calibri" w:cs="Times New Roman"/>
          <w:b/>
        </w:rPr>
        <w:t>.</w:t>
      </w:r>
      <w:r w:rsidRPr="00125D84">
        <w:rPr>
          <w:rFonts w:ascii="Calibri" w:eastAsia="Calibri" w:hAnsi="Calibri" w:cs="Times New Roman"/>
        </w:rPr>
        <w:t xml:space="preserve"> – </w:t>
      </w:r>
      <w:r w:rsidRPr="00125D84">
        <w:rPr>
          <w:rFonts w:ascii="Calibri" w:eastAsia="Calibri" w:hAnsi="Calibri" w:cs="Times New Roman"/>
          <w:b/>
        </w:rPr>
        <w:t>dovrebbero compensarsi nel confronto tra attività e passività.</w:t>
      </w:r>
    </w:p>
    <w:p w:rsidR="00EF61CB" w:rsidRPr="00125D84" w:rsidRDefault="00EF61CB" w:rsidP="00EF61CB">
      <w:pPr>
        <w:spacing w:before="100" w:beforeAutospacing="1" w:after="100" w:afterAutospacing="1" w:line="240" w:lineRule="auto"/>
        <w:jc w:val="both"/>
        <w:rPr>
          <w:rFonts w:ascii="Arial" w:eastAsia="Times New Roman" w:hAnsi="Arial" w:cs="Arial"/>
          <w:sz w:val="18"/>
          <w:szCs w:val="18"/>
          <w:lang w:eastAsia="it-IT"/>
        </w:rPr>
      </w:pPr>
    </w:p>
    <w:p w:rsidR="00EF61CB" w:rsidRPr="00EF61CB" w:rsidRDefault="00EF61CB" w:rsidP="00EF61CB">
      <w:pPr>
        <w:pStyle w:val="Nessunaspaziatura"/>
        <w:jc w:val="both"/>
      </w:pPr>
      <w:r w:rsidRPr="00EF61CB">
        <w:t>Art. 147-quinquies, TUEL</w:t>
      </w:r>
    </w:p>
    <w:p w:rsidR="009A1585" w:rsidRDefault="00EF61CB" w:rsidP="00EF61CB">
      <w:pPr>
        <w:pStyle w:val="Nessunaspaziatura"/>
        <w:jc w:val="both"/>
      </w:pPr>
      <w:r w:rsidRPr="00EF61CB">
        <w:t>(Controll</w:t>
      </w:r>
      <w:r w:rsidR="009A1585">
        <w:t>o sugli equilibri finanziari)</w:t>
      </w:r>
    </w:p>
    <w:p w:rsidR="009A1585" w:rsidRDefault="009A1585" w:rsidP="00EF61CB">
      <w:pPr>
        <w:pStyle w:val="Nessunaspaziatura"/>
        <w:jc w:val="both"/>
      </w:pPr>
    </w:p>
    <w:p w:rsidR="00EF61CB" w:rsidRPr="00EF61CB" w:rsidRDefault="00EF61CB" w:rsidP="00EF61CB">
      <w:pPr>
        <w:pStyle w:val="Nessunaspaziatura"/>
        <w:jc w:val="both"/>
        <w:rPr>
          <w:b/>
        </w:rPr>
      </w:pPr>
      <w:r w:rsidRPr="00EF61CB">
        <w:rPr>
          <w:b/>
        </w:rPr>
        <w:t xml:space="preserve">Il controllo sugli equilibri finanziari è svolto sotto la direzione e il coordinamento del responsabile del servizio finanziario e mediante la vigilanza dell'organo di revisione, prevedendo il coinvolgimento “attivo” degli organi di governo, del direttore generale, ove previsto, del segretario e dei “responsabili dei servizi”, secondo le rispettive responsabilità </w:t>
      </w:r>
    </w:p>
    <w:p w:rsidR="00EF61CB" w:rsidRPr="00125D84" w:rsidRDefault="00EF61CB" w:rsidP="00EF61CB">
      <w:pPr>
        <w:jc w:val="both"/>
        <w:rPr>
          <w:rFonts w:ascii="Calibri" w:eastAsia="Calibri" w:hAnsi="Calibri" w:cs="Times New Roman"/>
          <w:b/>
        </w:rPr>
      </w:pPr>
    </w:p>
    <w:p w:rsidR="00EF61CB" w:rsidRPr="00125D84" w:rsidRDefault="00EF61CB" w:rsidP="00EF61CB">
      <w:pPr>
        <w:jc w:val="both"/>
        <w:rPr>
          <w:rFonts w:ascii="Calibri" w:eastAsia="Calibri" w:hAnsi="Calibri" w:cs="Times New Roman"/>
          <w:b/>
        </w:rPr>
      </w:pPr>
      <w:r w:rsidRPr="00125D84">
        <w:rPr>
          <w:rFonts w:ascii="Calibri" w:eastAsia="Calibri" w:hAnsi="Calibri" w:cs="Times New Roman"/>
          <w:b/>
        </w:rPr>
        <w:t xml:space="preserve"> </w:t>
      </w:r>
    </w:p>
    <w:p w:rsidR="00EF61CB" w:rsidRPr="00125D84" w:rsidRDefault="00EF61CB" w:rsidP="00EF61CB">
      <w:pPr>
        <w:rPr>
          <w:rFonts w:ascii="Calibri" w:eastAsia="Calibri" w:hAnsi="Calibri" w:cs="Times New Roman"/>
          <w:b/>
        </w:rPr>
      </w:pPr>
    </w:p>
    <w:p w:rsidR="00EF61CB" w:rsidRPr="00125D84" w:rsidRDefault="00EF61CB" w:rsidP="00EF61CB">
      <w:pPr>
        <w:jc w:val="both"/>
        <w:rPr>
          <w:rFonts w:ascii="Calibri" w:eastAsia="Calibri" w:hAnsi="Calibri" w:cs="Times New Roman"/>
        </w:rPr>
      </w:pPr>
    </w:p>
    <w:p w:rsidR="00EF61CB" w:rsidRPr="00125D84" w:rsidRDefault="00EF61CB" w:rsidP="00EF61CB">
      <w:pPr>
        <w:jc w:val="both"/>
        <w:rPr>
          <w:rFonts w:ascii="Calibri" w:eastAsia="Calibri" w:hAnsi="Calibri" w:cs="Times New Roman"/>
          <w:b/>
        </w:rPr>
      </w:pPr>
    </w:p>
    <w:p w:rsidR="00EF61CB" w:rsidRPr="00125D84" w:rsidRDefault="00EF61CB" w:rsidP="00EF61CB">
      <w:pPr>
        <w:rPr>
          <w:rFonts w:ascii="Calibri" w:eastAsia="Calibri" w:hAnsi="Calibri" w:cs="Times New Roman"/>
        </w:rPr>
      </w:pPr>
    </w:p>
    <w:p w:rsidR="00EF61CB" w:rsidRPr="00125D84" w:rsidRDefault="00EF61CB" w:rsidP="00EF61CB">
      <w:pPr>
        <w:rPr>
          <w:rFonts w:ascii="Calibri" w:eastAsia="Calibri" w:hAnsi="Calibri" w:cs="Times New Roman"/>
        </w:rPr>
      </w:pPr>
    </w:p>
    <w:p w:rsidR="0019125A" w:rsidRDefault="0019125A"/>
    <w:p w:rsidR="00EF61CB" w:rsidRDefault="00EF61CB" w:rsidP="00125D84">
      <w:pPr>
        <w:jc w:val="both"/>
        <w:rPr>
          <w:rFonts w:ascii="Calibri" w:eastAsia="Calibri" w:hAnsi="Calibri" w:cs="Times New Roman"/>
        </w:rPr>
      </w:pPr>
    </w:p>
    <w:p w:rsidR="00EF61CB" w:rsidRDefault="00EF61CB" w:rsidP="00125D84">
      <w:pPr>
        <w:jc w:val="both"/>
        <w:rPr>
          <w:rFonts w:ascii="Calibri" w:eastAsia="Calibri" w:hAnsi="Calibri" w:cs="Times New Roman"/>
        </w:rPr>
      </w:pPr>
    </w:p>
    <w:p w:rsidR="00EF61CB" w:rsidRPr="00EF61CB" w:rsidRDefault="00EF61CB" w:rsidP="00125D84">
      <w:pPr>
        <w:jc w:val="both"/>
        <w:rPr>
          <w:rFonts w:ascii="Calibri" w:eastAsia="Calibri" w:hAnsi="Calibri" w:cs="Times New Roman"/>
          <w:b/>
          <w:color w:val="FF0000"/>
          <w:sz w:val="32"/>
          <w:szCs w:val="32"/>
        </w:rPr>
      </w:pPr>
      <w:r>
        <w:rPr>
          <w:rFonts w:ascii="Calibri" w:eastAsia="Calibri" w:hAnsi="Calibri" w:cs="Times New Roman"/>
          <w:b/>
          <w:color w:val="FF0000"/>
          <w:sz w:val="32"/>
          <w:szCs w:val="32"/>
        </w:rPr>
        <w:t xml:space="preserve">3 - </w:t>
      </w:r>
      <w:r w:rsidRPr="00EF61CB">
        <w:rPr>
          <w:rFonts w:ascii="Calibri" w:eastAsia="Calibri" w:hAnsi="Calibri" w:cs="Times New Roman"/>
          <w:b/>
          <w:color w:val="FF0000"/>
          <w:sz w:val="32"/>
          <w:szCs w:val="32"/>
        </w:rPr>
        <w:t>Il fondo pluriennale vincolato: garanzia di copertura delle spese pubbliche, rafforzamento della funzione programmatoria, la performance</w:t>
      </w:r>
    </w:p>
    <w:p w:rsidR="00EF61CB" w:rsidRDefault="00EF61CB" w:rsidP="00125D84">
      <w:pPr>
        <w:jc w:val="both"/>
        <w:rPr>
          <w:rFonts w:ascii="Calibri" w:eastAsia="Calibri" w:hAnsi="Calibri" w:cs="Times New Roman"/>
        </w:rPr>
      </w:pPr>
    </w:p>
    <w:p w:rsidR="00EF61CB" w:rsidRDefault="00EF61CB" w:rsidP="00125D84">
      <w:pPr>
        <w:jc w:val="both"/>
        <w:rPr>
          <w:rFonts w:ascii="Calibri" w:eastAsia="Calibri" w:hAnsi="Calibri" w:cs="Times New Roman"/>
        </w:rPr>
      </w:pPr>
    </w:p>
    <w:p w:rsidR="00EF61CB" w:rsidRPr="00125D84" w:rsidRDefault="00EF61CB" w:rsidP="00125D84">
      <w:pPr>
        <w:jc w:val="both"/>
        <w:rPr>
          <w:rFonts w:ascii="Calibri" w:eastAsia="Calibri" w:hAnsi="Calibri" w:cs="Times New Roman"/>
        </w:rPr>
      </w:pPr>
    </w:p>
    <w:p w:rsidR="00125D84" w:rsidRPr="00125D84" w:rsidRDefault="00125D84" w:rsidP="00125D84">
      <w:pPr>
        <w:jc w:val="both"/>
        <w:rPr>
          <w:rFonts w:ascii="Calibri" w:eastAsia="Calibri" w:hAnsi="Calibri" w:cs="Times New Roman"/>
        </w:rPr>
      </w:pPr>
      <w:r w:rsidRPr="00125D84">
        <w:rPr>
          <w:rFonts w:ascii="Calibri" w:eastAsia="Calibri" w:hAnsi="Calibri" w:cs="Times New Roman"/>
        </w:rPr>
        <w:t>Sentenza Corte Costituzionale n. 6/2017</w:t>
      </w:r>
    </w:p>
    <w:p w:rsidR="00125D84" w:rsidRPr="00125D84" w:rsidRDefault="00125D84" w:rsidP="00125D84">
      <w:pPr>
        <w:jc w:val="both"/>
        <w:rPr>
          <w:rFonts w:ascii="Calibri" w:eastAsia="Calibri" w:hAnsi="Calibri" w:cs="Times New Roman"/>
        </w:rPr>
      </w:pPr>
    </w:p>
    <w:p w:rsidR="00125D84" w:rsidRPr="00125D84" w:rsidRDefault="00125D84" w:rsidP="00125D84">
      <w:pPr>
        <w:jc w:val="both"/>
        <w:rPr>
          <w:rFonts w:ascii="Calibri" w:eastAsia="Calibri" w:hAnsi="Calibri" w:cs="Times New Roman"/>
          <w:b/>
        </w:rPr>
      </w:pPr>
      <w:r w:rsidRPr="00125D84">
        <w:rPr>
          <w:rFonts w:ascii="Calibri" w:eastAsia="Calibri" w:hAnsi="Calibri" w:cs="Times New Roman"/>
          <w:b/>
        </w:rPr>
        <w:t>Dalla scelta del legislatore di applicare il principio della competenza finanziaria potenziata deriva la necessità di istituire il fondo pluriennale vincolato, il quale serve a garantire gli equilibri del bilancio nei periodi intercorrenti tra l’acquisizione delle risorse ed il loro impiego. Detto fondo è costituito da risorse accertate, destinate al finanziamento di obbligazioni passive dell’ente già impegnate, ed esigibili in esercizi successivi a quello in cui è accertata l’entrata (Allegato 4/1, punto 9.8, del d.lgs. n. 118 del 2011).</w:t>
      </w:r>
    </w:p>
    <w:p w:rsidR="00125D84" w:rsidRPr="00125D84" w:rsidRDefault="00125D84" w:rsidP="00125D84">
      <w:pPr>
        <w:jc w:val="both"/>
        <w:rPr>
          <w:rFonts w:ascii="Calibri" w:eastAsia="Calibri" w:hAnsi="Calibri" w:cs="Times New Roman"/>
        </w:rPr>
      </w:pPr>
      <w:r w:rsidRPr="00125D84">
        <w:rPr>
          <w:rFonts w:ascii="Calibri" w:eastAsia="Calibri" w:hAnsi="Calibri" w:cs="Times New Roman"/>
        </w:rPr>
        <w:t xml:space="preserve">Nell’ambito del percorso giuridico-contabile delineato dalla riforma </w:t>
      </w:r>
      <w:r w:rsidRPr="00125D84">
        <w:rPr>
          <w:rFonts w:ascii="Calibri" w:eastAsia="Calibri" w:hAnsi="Calibri" w:cs="Times New Roman"/>
          <w:b/>
        </w:rPr>
        <w:t>si è avvertita l’esigenza di porre in evidenza, e di eliminare, il disavanzo sommerso che tradizionalmente si annidava nella gestione dei residui e nella loro applicazione al risultato di amministrazione</w:t>
      </w:r>
      <w:r w:rsidRPr="00125D84">
        <w:rPr>
          <w:rFonts w:ascii="Calibri" w:eastAsia="Calibri" w:hAnsi="Calibri" w:cs="Times New Roman"/>
        </w:rPr>
        <w:t>. Conseguentemente sono state fissate nuove regole per le amministrazioni territoriali interessate all’emersione e alla rimozione del fenomeno.</w:t>
      </w:r>
    </w:p>
    <w:p w:rsidR="009A1585" w:rsidRDefault="009A1585" w:rsidP="00125D84">
      <w:pPr>
        <w:jc w:val="both"/>
        <w:rPr>
          <w:rFonts w:ascii="Calibri" w:eastAsia="Calibri" w:hAnsi="Calibri" w:cs="Times New Roman"/>
          <w:b/>
        </w:rPr>
      </w:pPr>
    </w:p>
    <w:p w:rsidR="009A1585" w:rsidRDefault="009A1585" w:rsidP="00125D84">
      <w:pPr>
        <w:jc w:val="both"/>
        <w:rPr>
          <w:rFonts w:ascii="Calibri" w:eastAsia="Calibri" w:hAnsi="Calibri" w:cs="Times New Roman"/>
          <w:b/>
        </w:rPr>
      </w:pPr>
    </w:p>
    <w:p w:rsidR="00125D84" w:rsidRPr="00125D84" w:rsidRDefault="00125D84" w:rsidP="00125D84">
      <w:pPr>
        <w:jc w:val="both"/>
        <w:rPr>
          <w:rFonts w:ascii="Calibri" w:eastAsia="Calibri" w:hAnsi="Calibri" w:cs="Times New Roman"/>
          <w:b/>
        </w:rPr>
      </w:pPr>
      <w:r w:rsidRPr="00125D84">
        <w:rPr>
          <w:rFonts w:ascii="Calibri" w:eastAsia="Calibri" w:hAnsi="Calibri" w:cs="Times New Roman"/>
          <w:b/>
        </w:rPr>
        <w:t xml:space="preserve">Alla luce di quanto premesso circa la competenza finanziaria potenziata, il fondo pluriennale vincolato ed il </w:t>
      </w:r>
      <w:proofErr w:type="spellStart"/>
      <w:r w:rsidRPr="00125D84">
        <w:rPr>
          <w:rFonts w:ascii="Calibri" w:eastAsia="Calibri" w:hAnsi="Calibri" w:cs="Times New Roman"/>
          <w:b/>
        </w:rPr>
        <w:t>riaccertamento</w:t>
      </w:r>
      <w:proofErr w:type="spellEnd"/>
      <w:r w:rsidRPr="00125D84">
        <w:rPr>
          <w:rFonts w:ascii="Calibri" w:eastAsia="Calibri" w:hAnsi="Calibri" w:cs="Times New Roman"/>
          <w:b/>
        </w:rPr>
        <w:t xml:space="preserve"> straordinario dei residui, la logica del nuovo sistema, introdotto dal d.lgs. n. 118 del 2011, è quella di dare evidenza contabile e rilevanza giuridica ad alcune diacronie intercorrenti tra la realizzazione delle entrate e l’erogazione delle spese.</w:t>
      </w:r>
    </w:p>
    <w:p w:rsidR="00125D84" w:rsidRPr="00125D84" w:rsidRDefault="00125D84" w:rsidP="00125D84">
      <w:pPr>
        <w:jc w:val="both"/>
        <w:rPr>
          <w:rFonts w:ascii="Calibri" w:eastAsia="Calibri" w:hAnsi="Calibri" w:cs="Times New Roman"/>
        </w:rPr>
      </w:pPr>
    </w:p>
    <w:p w:rsidR="00125D84" w:rsidRPr="00125D84" w:rsidRDefault="00125D84" w:rsidP="00125D84">
      <w:pPr>
        <w:jc w:val="both"/>
        <w:rPr>
          <w:rFonts w:ascii="Calibri" w:eastAsia="Calibri" w:hAnsi="Calibri" w:cs="Times New Roman"/>
        </w:rPr>
      </w:pPr>
    </w:p>
    <w:p w:rsidR="00125D84" w:rsidRPr="00125D84" w:rsidRDefault="00125D84" w:rsidP="00125D84">
      <w:pPr>
        <w:jc w:val="both"/>
        <w:rPr>
          <w:rFonts w:ascii="Calibri" w:eastAsia="Calibri" w:hAnsi="Calibri" w:cs="Times New Roman"/>
        </w:rPr>
      </w:pPr>
      <w:r w:rsidRPr="00125D84">
        <w:rPr>
          <w:rFonts w:ascii="Calibri" w:eastAsia="Calibri" w:hAnsi="Calibri" w:cs="Times New Roman"/>
        </w:rPr>
        <w:t xml:space="preserve">Delibera Sezione Autonomie Corte dei Conti n. 4/2015 “Linee di indirizzo per il passaggio alla nuova contabilità delle Regioni e degli enti locali (D. </w:t>
      </w:r>
      <w:proofErr w:type="spellStart"/>
      <w:r w:rsidRPr="00125D84">
        <w:rPr>
          <w:rFonts w:ascii="Calibri" w:eastAsia="Calibri" w:hAnsi="Calibri" w:cs="Times New Roman"/>
        </w:rPr>
        <w:t>Lgs</w:t>
      </w:r>
      <w:proofErr w:type="spellEnd"/>
      <w:r w:rsidRPr="00125D84">
        <w:rPr>
          <w:rFonts w:ascii="Calibri" w:eastAsia="Calibri" w:hAnsi="Calibri" w:cs="Times New Roman"/>
        </w:rPr>
        <w:t xml:space="preserve">. 118/2011, integrato e corretto dal D. </w:t>
      </w:r>
      <w:proofErr w:type="spellStart"/>
      <w:r w:rsidRPr="00125D84">
        <w:rPr>
          <w:rFonts w:ascii="Calibri" w:eastAsia="Calibri" w:hAnsi="Calibri" w:cs="Times New Roman"/>
        </w:rPr>
        <w:t>Lgs</w:t>
      </w:r>
      <w:proofErr w:type="spellEnd"/>
      <w:r w:rsidRPr="00125D84">
        <w:rPr>
          <w:rFonts w:ascii="Calibri" w:eastAsia="Calibri" w:hAnsi="Calibri" w:cs="Times New Roman"/>
        </w:rPr>
        <w:t xml:space="preserve">. 126/2014) </w:t>
      </w:r>
    </w:p>
    <w:p w:rsidR="00125D84" w:rsidRPr="00125D84" w:rsidRDefault="00125D84" w:rsidP="00125D84">
      <w:pPr>
        <w:jc w:val="both"/>
        <w:rPr>
          <w:rFonts w:ascii="Calibri" w:eastAsia="Calibri" w:hAnsi="Calibri" w:cs="Times New Roman"/>
        </w:rPr>
      </w:pPr>
    </w:p>
    <w:p w:rsidR="00125D84" w:rsidRPr="00125D84" w:rsidRDefault="00125D84" w:rsidP="00125D84">
      <w:pPr>
        <w:jc w:val="both"/>
        <w:rPr>
          <w:rFonts w:ascii="Calibri" w:eastAsia="Calibri" w:hAnsi="Calibri" w:cs="Times New Roman"/>
          <w:b/>
        </w:rPr>
      </w:pPr>
      <w:r w:rsidRPr="00125D84">
        <w:rPr>
          <w:rFonts w:ascii="Calibri" w:eastAsia="Calibri" w:hAnsi="Calibri" w:cs="Times New Roman"/>
          <w:b/>
        </w:rPr>
        <w:t xml:space="preserve">L’ordinamento precedente era caratterizzato da una sostanziale a-temporalità della programmazione e gestione degli impieghi di risorse: con i residui “tecnici” e con gli impegni degli accantonamenti di risorse, la rappresentazione contabile si rendeva opaca e non consentiva di valutare i tempi dell’azione amministrativa in termini di effettivo impiego delle risorse acquisite, misurato da obbligazioni giuridicamente perfezionate e scadute, e di determinazione della distanza temporale tra il momento di acquisizione dei mezzi finanziari e il momento del loro impiego.  </w:t>
      </w:r>
    </w:p>
    <w:p w:rsidR="00125D84" w:rsidRPr="00125D84" w:rsidRDefault="00125D84" w:rsidP="00125D84">
      <w:pPr>
        <w:jc w:val="both"/>
        <w:rPr>
          <w:rFonts w:ascii="Calibri" w:eastAsia="Calibri" w:hAnsi="Calibri" w:cs="Times New Roman"/>
          <w:b/>
        </w:rPr>
      </w:pPr>
      <w:r w:rsidRPr="00125D84">
        <w:rPr>
          <w:rFonts w:ascii="Calibri" w:eastAsia="Calibri" w:hAnsi="Calibri" w:cs="Times New Roman"/>
        </w:rPr>
        <w:t xml:space="preserve">Si realizza nel nuovo contesto il vero significato programmatorio e di controllo del Fondo pluriennale vincolato che deriva dal </w:t>
      </w:r>
      <w:proofErr w:type="spellStart"/>
      <w:r w:rsidRPr="00125D84">
        <w:rPr>
          <w:rFonts w:ascii="Calibri" w:eastAsia="Calibri" w:hAnsi="Calibri" w:cs="Times New Roman"/>
        </w:rPr>
        <w:t>riaccertamento</w:t>
      </w:r>
      <w:proofErr w:type="spellEnd"/>
      <w:r w:rsidRPr="00125D84">
        <w:rPr>
          <w:rFonts w:ascii="Calibri" w:eastAsia="Calibri" w:hAnsi="Calibri" w:cs="Times New Roman"/>
        </w:rPr>
        <w:t xml:space="preserve"> straordinario dei residui: </w:t>
      </w:r>
      <w:r w:rsidRPr="00125D84">
        <w:rPr>
          <w:rFonts w:ascii="Calibri" w:eastAsia="Calibri" w:hAnsi="Calibri" w:cs="Times New Roman"/>
          <w:b/>
        </w:rPr>
        <w:t xml:space="preserve">rappresentare e gestire, in modo </w:t>
      </w:r>
      <w:r w:rsidRPr="00125D84">
        <w:rPr>
          <w:rFonts w:ascii="Calibri" w:eastAsia="Calibri" w:hAnsi="Calibri" w:cs="Times New Roman"/>
          <w:b/>
        </w:rPr>
        <w:lastRenderedPageBreak/>
        <w:t>responsabile e controllato, il divario temporale esistente tra il momento del reperimento delle entrate, di norma vincolate, e quello del loro utilizzo per il raggiungimento delle finalità istituzionali, legate all’esercizio delle funzioni fondamentali dell’ente</w:t>
      </w:r>
    </w:p>
    <w:p w:rsidR="009A1585" w:rsidRDefault="009A1585" w:rsidP="00D51A82">
      <w:pPr>
        <w:jc w:val="both"/>
        <w:rPr>
          <w:rFonts w:ascii="Calibri" w:eastAsia="Calibri" w:hAnsi="Calibri" w:cs="Times New Roman"/>
          <w:b/>
          <w:color w:val="FF0000"/>
          <w:sz w:val="32"/>
          <w:szCs w:val="32"/>
        </w:rPr>
      </w:pPr>
    </w:p>
    <w:p w:rsidR="009A1585" w:rsidRDefault="009A1585" w:rsidP="00D51A82">
      <w:pPr>
        <w:jc w:val="both"/>
        <w:rPr>
          <w:rFonts w:ascii="Calibri" w:eastAsia="Calibri" w:hAnsi="Calibri" w:cs="Times New Roman"/>
          <w:b/>
          <w:color w:val="FF0000"/>
          <w:sz w:val="32"/>
          <w:szCs w:val="32"/>
        </w:rPr>
      </w:pPr>
    </w:p>
    <w:p w:rsidR="009A1585" w:rsidRDefault="009A1585" w:rsidP="00D51A82">
      <w:pPr>
        <w:jc w:val="both"/>
        <w:rPr>
          <w:rFonts w:ascii="Calibri" w:eastAsia="Calibri" w:hAnsi="Calibri" w:cs="Times New Roman"/>
          <w:b/>
          <w:color w:val="FF0000"/>
          <w:sz w:val="32"/>
          <w:szCs w:val="32"/>
        </w:rPr>
      </w:pPr>
    </w:p>
    <w:p w:rsidR="009A1585" w:rsidRDefault="009A1585" w:rsidP="00D51A82">
      <w:pPr>
        <w:jc w:val="both"/>
        <w:rPr>
          <w:rFonts w:ascii="Calibri" w:eastAsia="Calibri" w:hAnsi="Calibri" w:cs="Times New Roman"/>
          <w:b/>
          <w:color w:val="FF0000"/>
          <w:sz w:val="32"/>
          <w:szCs w:val="32"/>
        </w:rPr>
      </w:pPr>
    </w:p>
    <w:p w:rsidR="00D51A82" w:rsidRPr="0027016D" w:rsidRDefault="0027016D" w:rsidP="00D51A82">
      <w:pPr>
        <w:jc w:val="both"/>
        <w:rPr>
          <w:rFonts w:ascii="Calibri" w:eastAsia="Calibri" w:hAnsi="Calibri" w:cs="Times New Roman"/>
          <w:b/>
          <w:color w:val="FF0000"/>
          <w:sz w:val="32"/>
          <w:szCs w:val="32"/>
        </w:rPr>
      </w:pPr>
      <w:r>
        <w:rPr>
          <w:rFonts w:ascii="Calibri" w:eastAsia="Calibri" w:hAnsi="Calibri" w:cs="Times New Roman"/>
          <w:b/>
          <w:color w:val="FF0000"/>
          <w:sz w:val="32"/>
          <w:szCs w:val="32"/>
        </w:rPr>
        <w:t xml:space="preserve">4 - </w:t>
      </w:r>
      <w:r w:rsidRPr="0027016D">
        <w:rPr>
          <w:rFonts w:ascii="Calibri" w:eastAsia="Calibri" w:hAnsi="Calibri" w:cs="Times New Roman"/>
          <w:b/>
          <w:color w:val="FF0000"/>
          <w:sz w:val="32"/>
          <w:szCs w:val="32"/>
        </w:rPr>
        <w:t xml:space="preserve">Sostenibilità del debito </w:t>
      </w:r>
    </w:p>
    <w:p w:rsidR="00D51A82" w:rsidRPr="00D51A82" w:rsidRDefault="00D51A82" w:rsidP="00D51A82">
      <w:pPr>
        <w:jc w:val="both"/>
        <w:rPr>
          <w:rFonts w:ascii="Calibri" w:eastAsia="Calibri" w:hAnsi="Calibri" w:cs="Times New Roman"/>
        </w:rPr>
      </w:pPr>
    </w:p>
    <w:p w:rsidR="00D51A82" w:rsidRPr="00D51A82" w:rsidRDefault="00D51A82" w:rsidP="00D51A82">
      <w:pPr>
        <w:jc w:val="both"/>
        <w:rPr>
          <w:rFonts w:ascii="Calibri" w:eastAsia="Calibri" w:hAnsi="Calibri" w:cs="Times New Roman"/>
        </w:rPr>
      </w:pPr>
      <w:proofErr w:type="gramStart"/>
      <w:r w:rsidRPr="00D51A82">
        <w:rPr>
          <w:rFonts w:ascii="Calibri" w:eastAsia="Calibri" w:hAnsi="Calibri" w:cs="Times New Roman"/>
        </w:rPr>
        <w:t>Sentenza  Corte</w:t>
      </w:r>
      <w:proofErr w:type="gramEnd"/>
      <w:r w:rsidRPr="00D51A82">
        <w:rPr>
          <w:rFonts w:ascii="Calibri" w:eastAsia="Calibri" w:hAnsi="Calibri" w:cs="Times New Roman"/>
        </w:rPr>
        <w:t xml:space="preserve"> Costituzionale 88/2014</w:t>
      </w: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color w:val="000000"/>
          <w:lang w:eastAsia="it-IT"/>
        </w:rPr>
      </w:pPr>
      <w:r w:rsidRPr="00D51A82">
        <w:rPr>
          <w:rFonts w:ascii="Calibri" w:eastAsia="Times New Roman" w:hAnsi="Calibri" w:cs="Calibri"/>
          <w:b/>
          <w:color w:val="000000"/>
          <w:lang w:eastAsia="it-IT"/>
        </w:rPr>
        <w:t xml:space="preserve">Viene in rilievo, al riguardo, l’art. 5, comma 2, lettera b), della legge </w:t>
      </w:r>
      <w:proofErr w:type="spellStart"/>
      <w:r w:rsidRPr="00D51A82">
        <w:rPr>
          <w:rFonts w:ascii="Calibri" w:eastAsia="Times New Roman" w:hAnsi="Calibri" w:cs="Calibri"/>
          <w:b/>
          <w:color w:val="000000"/>
          <w:lang w:eastAsia="it-IT"/>
        </w:rPr>
        <w:t>cost</w:t>
      </w:r>
      <w:proofErr w:type="spellEnd"/>
      <w:r w:rsidRPr="00D51A82">
        <w:rPr>
          <w:rFonts w:ascii="Calibri" w:eastAsia="Times New Roman" w:hAnsi="Calibri" w:cs="Calibri"/>
          <w:b/>
          <w:color w:val="000000"/>
          <w:lang w:eastAsia="it-IT"/>
        </w:rPr>
        <w:t>. n. 1 del 2012, secondo cui la legge rinforzata disciplina «la facoltà dei Comuni, delle Province, delle Città metropolitane, delle Regioni e delle Province autonome di Trento e di Bolzano di ricorrere all’indebitamento, ai sensi dell’articolo 119, sesto comma, secondo periodo, della Costituzione, come modificato dall’articolo 4 della presente legge costituzionale»</w:t>
      </w:r>
      <w:r w:rsidRPr="00D51A82">
        <w:rPr>
          <w:rFonts w:ascii="Calibri" w:eastAsia="Times New Roman" w:hAnsi="Calibri" w:cs="Calibri"/>
          <w:color w:val="000000"/>
          <w:lang w:eastAsia="it-IT"/>
        </w:rPr>
        <w:t>. La disposizione, dunque, prevede l’adozione di una disciplina statale attuativa che non appare in alcun modo limitata ai principi generali e che deve avere un contenuto eguale per tutte le autonomie. Pertanto, la circostanza che la normativa censurata abbia un contenuto dettagliato e il fatto che sia più rigorosa di quella contenuta negli statuti delle ricorrenti non comportano violazione del parametro costituzionale.</w:t>
      </w: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color w:val="000000"/>
          <w:lang w:eastAsia="it-IT"/>
        </w:rPr>
      </w:pPr>
      <w:r w:rsidRPr="00D51A82">
        <w:rPr>
          <w:rFonts w:ascii="Calibri" w:eastAsia="Times New Roman" w:hAnsi="Calibri" w:cs="Calibri"/>
          <w:b/>
          <w:color w:val="000000"/>
          <w:lang w:eastAsia="it-IT"/>
        </w:rPr>
        <w:t>La garanzia dell’omogeneità della disciplina è connaturata alla logica della riforma, poiché, oggi ancor più che in passato, non si può «ammettere che ogni ente, e così ogni Regione, faccia in proprio le scelte di concretizzazione» (sentenza n. 425 del 2004) dei vincoli posti in materia di indebitamento.</w:t>
      </w:r>
      <w:r w:rsidRPr="00D51A82">
        <w:rPr>
          <w:rFonts w:ascii="Calibri" w:eastAsia="Times New Roman" w:hAnsi="Calibri" w:cs="Calibri"/>
          <w:color w:val="000000"/>
          <w:lang w:eastAsia="it-IT"/>
        </w:rPr>
        <w:t xml:space="preserve"> Si tratta infatti di vincoli generali che devono valere «in modo uniforme per tutti gli enti, [e pertanto] solo lo Stato può legittimamente provvedere a tali scelte» (sentenza n. 425, citata).</w:t>
      </w: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b/>
          <w:color w:val="000000"/>
          <w:lang w:eastAsia="it-IT"/>
        </w:rPr>
      </w:pPr>
      <w:r w:rsidRPr="00D51A82">
        <w:rPr>
          <w:rFonts w:ascii="Calibri" w:eastAsia="Times New Roman" w:hAnsi="Calibri" w:cs="Calibri"/>
          <w:color w:val="000000"/>
          <w:lang w:eastAsia="it-IT"/>
        </w:rPr>
        <w:t>7.</w:t>
      </w:r>
      <w:proofErr w:type="gramStart"/>
      <w:r w:rsidRPr="00D51A82">
        <w:rPr>
          <w:rFonts w:ascii="Calibri" w:eastAsia="Times New Roman" w:hAnsi="Calibri" w:cs="Calibri"/>
          <w:color w:val="000000"/>
          <w:lang w:eastAsia="it-IT"/>
        </w:rPr>
        <w:t>2.−</w:t>
      </w:r>
      <w:proofErr w:type="gramEnd"/>
      <w:r w:rsidRPr="00D51A82">
        <w:rPr>
          <w:rFonts w:ascii="Calibri" w:eastAsia="Times New Roman" w:hAnsi="Calibri" w:cs="Calibri"/>
          <w:color w:val="000000"/>
          <w:lang w:eastAsia="it-IT"/>
        </w:rPr>
        <w:t xml:space="preserve"> </w:t>
      </w:r>
      <w:r w:rsidRPr="00D51A82">
        <w:rPr>
          <w:rFonts w:ascii="Calibri" w:eastAsia="Times New Roman" w:hAnsi="Calibri" w:cs="Calibri"/>
          <w:b/>
          <w:color w:val="000000"/>
          <w:lang w:eastAsia="it-IT"/>
        </w:rPr>
        <w:t xml:space="preserve">Questa esigenza di uniformità, del resto, è il riflesso della natura ancillare della disciplina dell’indebitamento rispetto ai princìpi dell’equilibrio di bilancio e della sostenibilità del debito pubblico: essa, al pari di questi ultimi, deve intendersi riferita al «complesso delle pubbliche amministrazioni» (così gli attuali artt. 81, sesto comma, e 97 </w:t>
      </w:r>
      <w:proofErr w:type="spellStart"/>
      <w:r w:rsidRPr="00D51A82">
        <w:rPr>
          <w:rFonts w:ascii="Calibri" w:eastAsia="Times New Roman" w:hAnsi="Calibri" w:cs="Calibri"/>
          <w:b/>
          <w:color w:val="000000"/>
          <w:lang w:eastAsia="it-IT"/>
        </w:rPr>
        <w:t>Cost</w:t>
      </w:r>
      <w:proofErr w:type="spellEnd"/>
      <w:r w:rsidRPr="00D51A82">
        <w:rPr>
          <w:rFonts w:ascii="Calibri" w:eastAsia="Times New Roman" w:hAnsi="Calibri" w:cs="Calibri"/>
          <w:b/>
          <w:color w:val="000000"/>
          <w:lang w:eastAsia="it-IT"/>
        </w:rPr>
        <w:t xml:space="preserve">., e, con forme ancora più esplicite, il nuovo art. 119 </w:t>
      </w:r>
      <w:proofErr w:type="spellStart"/>
      <w:r w:rsidRPr="00D51A82">
        <w:rPr>
          <w:rFonts w:ascii="Calibri" w:eastAsia="Times New Roman" w:hAnsi="Calibri" w:cs="Calibri"/>
          <w:b/>
          <w:color w:val="000000"/>
          <w:lang w:eastAsia="it-IT"/>
        </w:rPr>
        <w:t>Cost</w:t>
      </w:r>
      <w:proofErr w:type="spellEnd"/>
      <w:r w:rsidRPr="00D51A82">
        <w:rPr>
          <w:rFonts w:ascii="Calibri" w:eastAsia="Times New Roman" w:hAnsi="Calibri" w:cs="Calibri"/>
          <w:b/>
          <w:color w:val="000000"/>
          <w:lang w:eastAsia="it-IT"/>
        </w:rPr>
        <w:t xml:space="preserve">., nonché l’art. 5, comma 2, lettera c), della legge </w:t>
      </w:r>
      <w:proofErr w:type="spellStart"/>
      <w:r w:rsidRPr="00D51A82">
        <w:rPr>
          <w:rFonts w:ascii="Calibri" w:eastAsia="Times New Roman" w:hAnsi="Calibri" w:cs="Calibri"/>
          <w:b/>
          <w:color w:val="000000"/>
          <w:lang w:eastAsia="it-IT"/>
        </w:rPr>
        <w:t>cost</w:t>
      </w:r>
      <w:proofErr w:type="spellEnd"/>
      <w:r w:rsidRPr="00D51A82">
        <w:rPr>
          <w:rFonts w:ascii="Calibri" w:eastAsia="Times New Roman" w:hAnsi="Calibri" w:cs="Calibri"/>
          <w:b/>
          <w:color w:val="000000"/>
          <w:lang w:eastAsia="it-IT"/>
        </w:rPr>
        <w:t>. n. 1 del 2012). I vincoli imposti alla finanza pubblica, infatti, se hanno come primo destinatario lo Stato, non possono non coinvolgere tutti i soggetti istituzionali che concorrono alla formazione di quel «bilancio consolidato delle pubbliche amministrazioni» (sentenza n. 40 del 2014; si vedano anche le sentenze n. 39 del 2014, n. 138 del 2013, n. 425 e n. 36 del 2004), in relazione al quale va verificato il rispetto degli impegni assunti in sede europea e sovranazionale.</w:t>
      </w: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color w:val="000000"/>
          <w:lang w:eastAsia="it-IT"/>
        </w:rPr>
      </w:pPr>
      <w:r w:rsidRPr="00D51A82">
        <w:rPr>
          <w:rFonts w:ascii="Calibri" w:eastAsia="Times New Roman" w:hAnsi="Calibri" w:cs="Calibri"/>
          <w:color w:val="000000"/>
          <w:lang w:eastAsia="it-IT"/>
        </w:rPr>
        <w:t xml:space="preserve">La riforma poggia dunque anche sugli artt. 11 e 117, primo comma, </w:t>
      </w:r>
      <w:proofErr w:type="spellStart"/>
      <w:r w:rsidRPr="00D51A82">
        <w:rPr>
          <w:rFonts w:ascii="Calibri" w:eastAsia="Times New Roman" w:hAnsi="Calibri" w:cs="Calibri"/>
          <w:color w:val="000000"/>
          <w:lang w:eastAsia="it-IT"/>
        </w:rPr>
        <w:t>Cost</w:t>
      </w:r>
      <w:proofErr w:type="spellEnd"/>
      <w:r w:rsidRPr="00D51A82">
        <w:rPr>
          <w:rFonts w:ascii="Calibri" w:eastAsia="Times New Roman" w:hAnsi="Calibri" w:cs="Calibri"/>
          <w:color w:val="000000"/>
          <w:lang w:eastAsia="it-IT"/>
        </w:rPr>
        <w:t xml:space="preserve">., oltre che – e soprattutto − sui princìpi fondamentali di unitarietà della Repubblica (art. 5 </w:t>
      </w:r>
      <w:proofErr w:type="spellStart"/>
      <w:r w:rsidRPr="00D51A82">
        <w:rPr>
          <w:rFonts w:ascii="Calibri" w:eastAsia="Times New Roman" w:hAnsi="Calibri" w:cs="Calibri"/>
          <w:color w:val="000000"/>
          <w:lang w:eastAsia="it-IT"/>
        </w:rPr>
        <w:t>Cost</w:t>
      </w:r>
      <w:proofErr w:type="spellEnd"/>
      <w:r w:rsidRPr="00D51A82">
        <w:rPr>
          <w:rFonts w:ascii="Calibri" w:eastAsia="Times New Roman" w:hAnsi="Calibri" w:cs="Calibri"/>
          <w:color w:val="000000"/>
          <w:lang w:eastAsia="it-IT"/>
        </w:rPr>
        <w:t xml:space="preserve">.) e di unità economica e giuridica dell’ordinamento (art. 120, secondo comma, </w:t>
      </w:r>
      <w:proofErr w:type="spellStart"/>
      <w:r w:rsidRPr="00D51A82">
        <w:rPr>
          <w:rFonts w:ascii="Calibri" w:eastAsia="Times New Roman" w:hAnsi="Calibri" w:cs="Calibri"/>
          <w:color w:val="000000"/>
          <w:lang w:eastAsia="it-IT"/>
        </w:rPr>
        <w:t>Cost</w:t>
      </w:r>
      <w:proofErr w:type="spellEnd"/>
      <w:r w:rsidRPr="00D51A82">
        <w:rPr>
          <w:rFonts w:ascii="Calibri" w:eastAsia="Times New Roman" w:hAnsi="Calibri" w:cs="Calibri"/>
          <w:color w:val="000000"/>
          <w:lang w:eastAsia="it-IT"/>
        </w:rPr>
        <w:t>.), unità che già nel precedente quadro costituzionale era sottesa alla disciplina della finanza pubblica e che nel nuovo ha accentuato la sua pregnanza.</w:t>
      </w: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b/>
          <w:color w:val="000000"/>
          <w:lang w:eastAsia="it-IT"/>
        </w:rPr>
      </w:pPr>
      <w:r w:rsidRPr="00D51A82">
        <w:rPr>
          <w:rFonts w:ascii="Calibri" w:eastAsia="Times New Roman" w:hAnsi="Calibri" w:cs="Calibri"/>
          <w:b/>
          <w:color w:val="000000"/>
          <w:lang w:eastAsia="it-IT"/>
        </w:rPr>
        <w:t>Si deve aggiungere che l’attuazione dei nuovi princìpi, e in particolare di quello della sostenibilità del debito pubblico, implica una responsabilità che, in attuazione di quelli «fondanti» (sentenza n. 264 del 2012) di solidarietà e di eguaglianza, non è solo delle istituzioni ma anche di ciascun cittadino nei confronti degli altri, ivi compresi quelli delle “generazioni future”.</w:t>
      </w:r>
    </w:p>
    <w:p w:rsidR="00D51A82" w:rsidRPr="00D51A82" w:rsidRDefault="00D51A82" w:rsidP="00D51A82">
      <w:pPr>
        <w:jc w:val="both"/>
        <w:rPr>
          <w:rFonts w:ascii="Calibri" w:eastAsia="Calibri" w:hAnsi="Calibri" w:cs="Calibri"/>
        </w:rPr>
      </w:pPr>
    </w:p>
    <w:p w:rsidR="00D51A82" w:rsidRPr="00D51A82" w:rsidRDefault="00D51A82" w:rsidP="00D51A82">
      <w:pPr>
        <w:jc w:val="both"/>
        <w:rPr>
          <w:rFonts w:ascii="Calibri" w:eastAsia="Calibri" w:hAnsi="Calibri" w:cs="Times New Roman"/>
        </w:rPr>
      </w:pP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color w:val="000000"/>
          <w:lang w:eastAsia="it-IT"/>
        </w:rPr>
      </w:pPr>
      <w:r w:rsidRPr="00D51A82">
        <w:rPr>
          <w:rFonts w:ascii="Calibri" w:eastAsia="Times New Roman" w:hAnsi="Calibri" w:cs="Calibri"/>
          <w:color w:val="000000"/>
          <w:lang w:eastAsia="it-IT"/>
        </w:rPr>
        <w:lastRenderedPageBreak/>
        <w:t xml:space="preserve">Il primo comma (Art. 10 Legge 243/2012 e </w:t>
      </w:r>
      <w:proofErr w:type="spellStart"/>
      <w:r w:rsidRPr="00D51A82">
        <w:rPr>
          <w:rFonts w:ascii="Calibri" w:eastAsia="Times New Roman" w:hAnsi="Calibri" w:cs="Calibri"/>
          <w:color w:val="000000"/>
          <w:lang w:eastAsia="it-IT"/>
        </w:rPr>
        <w:t>s.m.i.</w:t>
      </w:r>
      <w:proofErr w:type="spellEnd"/>
      <w:r w:rsidRPr="00D51A82">
        <w:rPr>
          <w:rFonts w:ascii="Calibri" w:eastAsia="Times New Roman" w:hAnsi="Calibri" w:cs="Calibri"/>
          <w:color w:val="000000"/>
          <w:lang w:eastAsia="it-IT"/>
        </w:rPr>
        <w:t xml:space="preserve"> </w:t>
      </w:r>
      <w:proofErr w:type="spellStart"/>
      <w:r w:rsidRPr="00D51A82">
        <w:rPr>
          <w:rFonts w:ascii="Calibri" w:eastAsia="Times New Roman" w:hAnsi="Calibri" w:cs="Calibri"/>
          <w:color w:val="000000"/>
          <w:lang w:eastAsia="it-IT"/>
        </w:rPr>
        <w:t>ndr</w:t>
      </w:r>
      <w:proofErr w:type="spellEnd"/>
      <w:r w:rsidRPr="00D51A82">
        <w:rPr>
          <w:rFonts w:ascii="Calibri" w:eastAsia="Times New Roman" w:hAnsi="Calibri" w:cs="Calibri"/>
          <w:color w:val="000000"/>
          <w:lang w:eastAsia="it-IT"/>
        </w:rPr>
        <w:t xml:space="preserve">) stabilisce che </w:t>
      </w:r>
      <w:r w:rsidRPr="00D51A82">
        <w:rPr>
          <w:rFonts w:ascii="Calibri" w:eastAsia="Times New Roman" w:hAnsi="Calibri" w:cs="Calibri"/>
          <w:b/>
          <w:color w:val="000000"/>
          <w:lang w:eastAsia="it-IT"/>
        </w:rPr>
        <w:t>il ricorso all’indebitamento delle autonomie è consentito esclusivamente per finanziare spese di investimento</w:t>
      </w:r>
      <w:r w:rsidRPr="00D51A82">
        <w:rPr>
          <w:rFonts w:ascii="Calibri" w:eastAsia="Times New Roman" w:hAnsi="Calibri" w:cs="Calibri"/>
          <w:color w:val="000000"/>
          <w:lang w:eastAsia="it-IT"/>
        </w:rPr>
        <w:t xml:space="preserve"> «con le modalità e nei limiti previsti dal presente articolo e dalla legge dello Stato». Nessun compito, dunque, è assegnato al decreto del Presidente del Consiglio dei ministri.</w:t>
      </w: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color w:val="000000"/>
          <w:lang w:eastAsia="it-IT"/>
        </w:rPr>
      </w:pP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color w:val="000000"/>
          <w:lang w:eastAsia="it-IT"/>
        </w:rPr>
      </w:pP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color w:val="000000"/>
          <w:lang w:eastAsia="it-IT"/>
        </w:rPr>
      </w:pP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color w:val="000000"/>
          <w:lang w:eastAsia="it-IT"/>
        </w:rPr>
      </w:pP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b/>
          <w:color w:val="000000"/>
          <w:lang w:eastAsia="it-IT"/>
        </w:rPr>
      </w:pPr>
      <w:r w:rsidRPr="00D51A82">
        <w:rPr>
          <w:rFonts w:ascii="Calibri" w:eastAsia="Times New Roman" w:hAnsi="Calibri" w:cs="Calibri"/>
          <w:b/>
          <w:color w:val="000000"/>
          <w:lang w:eastAsia="it-IT"/>
        </w:rPr>
        <w:t>Il secondo comma fissa la regola che le operazioni d’indebitamento sono effettuate solo contestualmente all’adozione dei piani di ammortamento di durata non superiore alla vita utile dell’investimento e nei quali sono evidenziate sia l’incidenza delle obbligazioni assunte sui singoli esercizi finanziari futuri che le modalità di copertura degli oneri corrispondenti.</w:t>
      </w: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b/>
          <w:color w:val="000000"/>
          <w:lang w:eastAsia="it-IT"/>
        </w:rPr>
      </w:pPr>
      <w:r w:rsidRPr="00D51A82">
        <w:rPr>
          <w:rFonts w:ascii="Calibri" w:eastAsia="Times New Roman" w:hAnsi="Calibri" w:cs="Calibri"/>
          <w:b/>
          <w:color w:val="000000"/>
          <w:lang w:eastAsia="it-IT"/>
        </w:rPr>
        <w:t>La prima parte del comma pone dunque un precetto “</w:t>
      </w:r>
      <w:proofErr w:type="spellStart"/>
      <w:r w:rsidRPr="00D51A82">
        <w:rPr>
          <w:rFonts w:ascii="Calibri" w:eastAsia="Times New Roman" w:hAnsi="Calibri" w:cs="Calibri"/>
          <w:b/>
          <w:color w:val="000000"/>
          <w:lang w:eastAsia="it-IT"/>
        </w:rPr>
        <w:t>autoesecutivo</w:t>
      </w:r>
      <w:proofErr w:type="spellEnd"/>
      <w:r w:rsidRPr="00D51A82">
        <w:rPr>
          <w:rFonts w:ascii="Calibri" w:eastAsia="Times New Roman" w:hAnsi="Calibri" w:cs="Calibri"/>
          <w:b/>
          <w:color w:val="000000"/>
          <w:lang w:eastAsia="it-IT"/>
        </w:rPr>
        <w:t>”, che non richiede l’individuazione di «criteri e modalità di attuazione».</w:t>
      </w:r>
    </w:p>
    <w:p w:rsidR="00D51A82" w:rsidRPr="00D51A82" w:rsidRDefault="00D51A82" w:rsidP="00D51A82">
      <w:pPr>
        <w:shd w:val="clear" w:color="auto" w:fill="FFFFFF"/>
        <w:spacing w:after="0" w:line="240" w:lineRule="auto"/>
        <w:ind w:firstLine="397"/>
        <w:jc w:val="both"/>
        <w:textAlignment w:val="baseline"/>
        <w:rPr>
          <w:rFonts w:ascii="Calibri" w:eastAsia="Times New Roman" w:hAnsi="Calibri" w:cs="Calibri"/>
          <w:b/>
          <w:color w:val="000000"/>
          <w:lang w:eastAsia="it-IT"/>
        </w:rPr>
      </w:pPr>
      <w:r w:rsidRPr="00D51A82">
        <w:rPr>
          <w:rFonts w:ascii="Calibri" w:eastAsia="Times New Roman" w:hAnsi="Calibri" w:cs="Calibri"/>
          <w:b/>
          <w:color w:val="000000"/>
          <w:lang w:eastAsia="it-IT"/>
        </w:rPr>
        <w:t xml:space="preserve">Questi, per contro, vengono in gioco con riferimento alla seconda parte relativa alla “evidenziazione” della incidenza delle obbligazioni assunte sui singoli esercizi finanziari e delle tecniche di copertura degli oneri corrispondenti. Tale attività è riconducibile all’armonizzazione dei bilanci di competenza esclusiva dello Stato ex art. 117, secondo comma, lettera e), </w:t>
      </w:r>
      <w:proofErr w:type="spellStart"/>
      <w:r w:rsidRPr="00D51A82">
        <w:rPr>
          <w:rFonts w:ascii="Calibri" w:eastAsia="Times New Roman" w:hAnsi="Calibri" w:cs="Calibri"/>
          <w:b/>
          <w:color w:val="000000"/>
          <w:lang w:eastAsia="it-IT"/>
        </w:rPr>
        <w:t>Cost</w:t>
      </w:r>
      <w:proofErr w:type="spellEnd"/>
      <w:r w:rsidRPr="00D51A82">
        <w:rPr>
          <w:rFonts w:ascii="Calibri" w:eastAsia="Times New Roman" w:hAnsi="Calibri" w:cs="Calibri"/>
          <w:b/>
          <w:color w:val="000000"/>
          <w:lang w:eastAsia="it-IT"/>
        </w:rPr>
        <w:t>. e richiede all’evidenza una disciplina integrativa dal carattere esclusivamente tecnico.</w:t>
      </w:r>
    </w:p>
    <w:p w:rsidR="00D51A82" w:rsidRPr="00D51A82" w:rsidRDefault="00D51A82" w:rsidP="00D51A82">
      <w:pPr>
        <w:jc w:val="both"/>
        <w:rPr>
          <w:rFonts w:ascii="Calibri" w:eastAsia="Calibri" w:hAnsi="Calibri" w:cs="Calibri"/>
        </w:rPr>
      </w:pPr>
    </w:p>
    <w:p w:rsidR="00D51A82" w:rsidRDefault="00D51A82" w:rsidP="00D51A82">
      <w:pPr>
        <w:jc w:val="both"/>
        <w:rPr>
          <w:rFonts w:ascii="Calibri" w:eastAsia="Calibri" w:hAnsi="Calibri" w:cs="Calibri"/>
        </w:rPr>
      </w:pPr>
    </w:p>
    <w:p w:rsidR="0027016D" w:rsidRDefault="0027016D" w:rsidP="00D51A82">
      <w:pPr>
        <w:jc w:val="both"/>
        <w:rPr>
          <w:rFonts w:ascii="Calibri" w:eastAsia="Calibri" w:hAnsi="Calibri" w:cs="Calibri"/>
        </w:rPr>
      </w:pPr>
    </w:p>
    <w:p w:rsidR="0027016D" w:rsidRDefault="0027016D" w:rsidP="00D51A82">
      <w:pPr>
        <w:jc w:val="both"/>
        <w:rPr>
          <w:rFonts w:ascii="Calibri" w:eastAsia="Calibri" w:hAnsi="Calibri" w:cs="Calibri"/>
        </w:rPr>
      </w:pPr>
    </w:p>
    <w:p w:rsidR="0027016D" w:rsidRDefault="0027016D" w:rsidP="00D51A82">
      <w:pPr>
        <w:jc w:val="both"/>
        <w:rPr>
          <w:rFonts w:ascii="Calibri" w:eastAsia="Calibri" w:hAnsi="Calibri" w:cs="Calibri"/>
        </w:rPr>
      </w:pPr>
    </w:p>
    <w:p w:rsidR="0027016D" w:rsidRPr="0027016D" w:rsidRDefault="0027016D" w:rsidP="00D51A82">
      <w:pPr>
        <w:jc w:val="both"/>
        <w:rPr>
          <w:rFonts w:ascii="Calibri" w:eastAsia="Calibri" w:hAnsi="Calibri" w:cs="Calibri"/>
          <w:b/>
          <w:color w:val="FF0000"/>
          <w:sz w:val="32"/>
          <w:szCs w:val="32"/>
        </w:rPr>
      </w:pPr>
      <w:r>
        <w:rPr>
          <w:rFonts w:ascii="Calibri" w:eastAsia="Calibri" w:hAnsi="Calibri" w:cs="Calibri"/>
          <w:b/>
          <w:color w:val="FF0000"/>
          <w:sz w:val="32"/>
          <w:szCs w:val="32"/>
        </w:rPr>
        <w:t xml:space="preserve">5 - </w:t>
      </w:r>
      <w:r w:rsidRPr="0027016D">
        <w:rPr>
          <w:rFonts w:ascii="Calibri" w:eastAsia="Calibri" w:hAnsi="Calibri" w:cs="Calibri"/>
          <w:b/>
          <w:color w:val="FF0000"/>
          <w:sz w:val="32"/>
          <w:szCs w:val="32"/>
        </w:rPr>
        <w:t>La dimostrazione analitica dei crediti e la “svalutazione”</w:t>
      </w:r>
    </w:p>
    <w:p w:rsidR="00D51A82" w:rsidRPr="00D51A82" w:rsidRDefault="00D51A82" w:rsidP="00D51A82">
      <w:pPr>
        <w:jc w:val="both"/>
        <w:rPr>
          <w:rFonts w:ascii="Calibri" w:eastAsia="Calibri" w:hAnsi="Calibri" w:cs="Calibri"/>
        </w:rPr>
      </w:pPr>
    </w:p>
    <w:p w:rsidR="00D51A82" w:rsidRPr="00D51A82" w:rsidRDefault="00D51A82" w:rsidP="00D51A82">
      <w:pPr>
        <w:jc w:val="both"/>
        <w:rPr>
          <w:rFonts w:ascii="Calibri" w:eastAsia="Calibri" w:hAnsi="Calibri" w:cs="Times New Roman"/>
        </w:rPr>
      </w:pPr>
      <w:r w:rsidRPr="00D51A82">
        <w:rPr>
          <w:rFonts w:ascii="Calibri" w:eastAsia="Calibri" w:hAnsi="Calibri" w:cs="Times New Roman"/>
        </w:rPr>
        <w:t xml:space="preserve">Sentenza Corte </w:t>
      </w:r>
      <w:proofErr w:type="gramStart"/>
      <w:r w:rsidRPr="00D51A82">
        <w:rPr>
          <w:rFonts w:ascii="Calibri" w:eastAsia="Calibri" w:hAnsi="Calibri" w:cs="Times New Roman"/>
        </w:rPr>
        <w:t>Costituzionale  n.</w:t>
      </w:r>
      <w:proofErr w:type="gramEnd"/>
      <w:r w:rsidRPr="00D51A82">
        <w:rPr>
          <w:rFonts w:ascii="Calibri" w:eastAsia="Calibri" w:hAnsi="Calibri" w:cs="Times New Roman"/>
        </w:rPr>
        <w:t xml:space="preserve"> 138 / 2013</w:t>
      </w:r>
    </w:p>
    <w:p w:rsidR="00D51A82" w:rsidRPr="00D51A82" w:rsidRDefault="00D51A82" w:rsidP="00D51A82">
      <w:pPr>
        <w:jc w:val="both"/>
        <w:rPr>
          <w:rFonts w:ascii="Times New Roman" w:eastAsia="Times New Roman" w:hAnsi="Times New Roman" w:cs="Times New Roman"/>
          <w:color w:val="000000"/>
          <w:sz w:val="27"/>
          <w:szCs w:val="27"/>
          <w:highlight w:val="yellow"/>
          <w:lang w:eastAsia="it-IT"/>
        </w:rPr>
      </w:pPr>
    </w:p>
    <w:p w:rsidR="00D51A82" w:rsidRPr="00D51A82" w:rsidRDefault="00D51A82" w:rsidP="00D51A82">
      <w:pPr>
        <w:jc w:val="both"/>
        <w:rPr>
          <w:rFonts w:ascii="Calibri" w:eastAsia="Times New Roman" w:hAnsi="Calibri" w:cs="Calibri"/>
          <w:color w:val="000000"/>
          <w:lang w:eastAsia="it-IT"/>
        </w:rPr>
      </w:pPr>
      <w:r w:rsidRPr="00D51A82">
        <w:rPr>
          <w:rFonts w:ascii="Calibri" w:eastAsia="Times New Roman" w:hAnsi="Calibri" w:cs="Calibri"/>
          <w:color w:val="000000"/>
          <w:lang w:eastAsia="it-IT"/>
        </w:rPr>
        <w:t xml:space="preserve">È bene ricordare in proposito che </w:t>
      </w:r>
      <w:r w:rsidRPr="00D51A82">
        <w:rPr>
          <w:rFonts w:ascii="Calibri" w:eastAsia="Times New Roman" w:hAnsi="Calibri" w:cs="Calibri"/>
          <w:b/>
          <w:color w:val="000000"/>
          <w:lang w:eastAsia="it-IT"/>
        </w:rPr>
        <w:t>il coordinamento della finanza pubblica</w:t>
      </w:r>
      <w:r w:rsidRPr="00D51A82">
        <w:rPr>
          <w:rFonts w:ascii="Calibri" w:eastAsia="Times New Roman" w:hAnsi="Calibri" w:cs="Calibri"/>
          <w:color w:val="000000"/>
          <w:lang w:eastAsia="it-IT"/>
        </w:rPr>
        <w:t xml:space="preserve"> attiene soprattutto al rispetto delle regole di convergenza e di stabilità dei conti pubblici, regole provenienti sia dall’ordinamento comunitario che da quello nazionale</w:t>
      </w:r>
    </w:p>
    <w:p w:rsidR="00D51A82" w:rsidRPr="00D51A82" w:rsidRDefault="00D51A82" w:rsidP="00D51A82">
      <w:pPr>
        <w:spacing w:after="0" w:line="240" w:lineRule="auto"/>
        <w:jc w:val="both"/>
        <w:rPr>
          <w:rFonts w:ascii="Calibri" w:eastAsia="Calibri" w:hAnsi="Calibri" w:cs="Times New Roman"/>
          <w:highlight w:val="yellow"/>
          <w:lang w:eastAsia="it-IT"/>
        </w:rPr>
      </w:pPr>
    </w:p>
    <w:p w:rsidR="00D51A82" w:rsidRPr="00D51A82" w:rsidRDefault="00D51A82" w:rsidP="00D51A82">
      <w:pPr>
        <w:spacing w:after="0" w:line="240" w:lineRule="auto"/>
        <w:jc w:val="both"/>
        <w:rPr>
          <w:rFonts w:ascii="Calibri" w:eastAsia="Calibri" w:hAnsi="Calibri" w:cs="Times New Roman"/>
          <w:lang w:eastAsia="it-IT"/>
        </w:rPr>
      </w:pPr>
    </w:p>
    <w:p w:rsidR="00D51A82" w:rsidRPr="00D51A82" w:rsidRDefault="00D51A82" w:rsidP="00D51A82">
      <w:pPr>
        <w:spacing w:after="0" w:line="240" w:lineRule="auto"/>
        <w:jc w:val="both"/>
        <w:rPr>
          <w:rFonts w:ascii="Calibri" w:eastAsia="Calibri" w:hAnsi="Calibri" w:cs="Times New Roman"/>
          <w:b/>
          <w:lang w:eastAsia="it-IT"/>
        </w:rPr>
      </w:pPr>
      <w:r w:rsidRPr="00D51A82">
        <w:rPr>
          <w:rFonts w:ascii="Calibri" w:eastAsia="Calibri" w:hAnsi="Calibri" w:cs="Times New Roman"/>
          <w:b/>
          <w:lang w:eastAsia="it-IT"/>
        </w:rPr>
        <w:t>Gli eventuali disavanzi di ciascun ente, i quali costituiscono la componente analitica dell’aggregato finanziario complessivo preso come punto di riferimento per il rispetto degli obblighi comunitari e nazionali, si accertano – per quel che riguarda la gestione annuale – attraverso il risultato di amministrazione, che costituisce l’epilogo del rendiconto finanziario. Si può pertanto concludere che le norme finanziarie contenute nei rendiconti, le quali risultano idonee a violare il rispetto dei limiti derivanti dall’ordinamento comunitario e dalla pertinente legislazione nazionale in materia oppure a non consentirne la verifica, possono risultare in contrasto con principi fondamentali del coordinamento della finanza pubblica.</w:t>
      </w:r>
    </w:p>
    <w:p w:rsidR="00D51A82" w:rsidRPr="00D51A82" w:rsidRDefault="00D51A82" w:rsidP="00D51A82">
      <w:pPr>
        <w:spacing w:after="0" w:line="240" w:lineRule="auto"/>
        <w:jc w:val="both"/>
        <w:rPr>
          <w:rFonts w:ascii="Calibri" w:eastAsia="Calibri" w:hAnsi="Calibri" w:cs="Times New Roman"/>
          <w:lang w:eastAsia="it-IT"/>
        </w:rPr>
      </w:pPr>
      <w:r w:rsidRPr="00D51A82">
        <w:rPr>
          <w:rFonts w:ascii="Calibri" w:eastAsia="Calibri" w:hAnsi="Calibri" w:cs="Times New Roman"/>
          <w:lang w:eastAsia="it-IT"/>
        </w:rPr>
        <w:t xml:space="preserve">Acclarato che modalità non corrette di redazione del rendiconto finanziario approvato con legge regionale possono costituire strumento di violazione degli obblighi inerenti al rispetto dei canoni della sana gestione finanziaria, come tutelati dal precetto costituzionale </w:t>
      </w:r>
      <w:proofErr w:type="gramStart"/>
      <w:r w:rsidRPr="00D51A82">
        <w:rPr>
          <w:rFonts w:ascii="Calibri" w:eastAsia="Calibri" w:hAnsi="Calibri" w:cs="Times New Roman"/>
          <w:lang w:eastAsia="it-IT"/>
        </w:rPr>
        <w:t>invocato,   ….</w:t>
      </w:r>
      <w:proofErr w:type="gramEnd"/>
      <w:r w:rsidRPr="00D51A82">
        <w:rPr>
          <w:rFonts w:ascii="Calibri" w:eastAsia="Calibri" w:hAnsi="Calibri" w:cs="Times New Roman"/>
          <w:lang w:eastAsia="it-IT"/>
        </w:rPr>
        <w:t>.omissis…..</w:t>
      </w:r>
    </w:p>
    <w:p w:rsidR="00D51A82" w:rsidRPr="00D51A82" w:rsidRDefault="00D51A82" w:rsidP="00D51A82">
      <w:pPr>
        <w:spacing w:after="0" w:line="240" w:lineRule="auto"/>
        <w:jc w:val="both"/>
        <w:rPr>
          <w:rFonts w:ascii="Calibri" w:eastAsia="Calibri" w:hAnsi="Calibri" w:cs="Times New Roman"/>
          <w:lang w:eastAsia="it-IT"/>
        </w:rPr>
      </w:pPr>
    </w:p>
    <w:p w:rsidR="00D51A82" w:rsidRPr="00D51A82" w:rsidRDefault="00D51A82" w:rsidP="00D51A82">
      <w:pPr>
        <w:spacing w:after="0" w:line="240" w:lineRule="auto"/>
        <w:jc w:val="both"/>
        <w:rPr>
          <w:rFonts w:ascii="Calibri" w:eastAsia="Calibri" w:hAnsi="Calibri" w:cs="Times New Roman"/>
        </w:rPr>
      </w:pPr>
    </w:p>
    <w:p w:rsidR="00D51A82" w:rsidRPr="00D51A82" w:rsidRDefault="00D51A82" w:rsidP="00D51A82">
      <w:pPr>
        <w:spacing w:after="0" w:line="240" w:lineRule="auto"/>
        <w:jc w:val="both"/>
        <w:rPr>
          <w:rFonts w:ascii="Calibri" w:eastAsia="Calibri" w:hAnsi="Calibri" w:cs="Times New Roman"/>
        </w:rPr>
      </w:pPr>
    </w:p>
    <w:p w:rsidR="00D51A82" w:rsidRPr="00D51A82" w:rsidRDefault="00D51A82" w:rsidP="00D51A82">
      <w:pPr>
        <w:spacing w:after="0" w:line="240" w:lineRule="auto"/>
        <w:jc w:val="both"/>
        <w:rPr>
          <w:rFonts w:ascii="Calibri" w:eastAsia="Calibri" w:hAnsi="Calibri" w:cs="Times New Roman"/>
        </w:rPr>
      </w:pPr>
    </w:p>
    <w:p w:rsidR="00D51A82" w:rsidRPr="00D51A82" w:rsidRDefault="00D51A82" w:rsidP="00D51A82">
      <w:pPr>
        <w:jc w:val="both"/>
        <w:rPr>
          <w:rFonts w:ascii="Calibri" w:eastAsia="Times New Roman" w:hAnsi="Calibri" w:cs="Calibri"/>
          <w:b/>
          <w:color w:val="000000"/>
          <w:lang w:eastAsia="it-IT"/>
        </w:rPr>
      </w:pPr>
      <w:r w:rsidRPr="00D51A82">
        <w:rPr>
          <w:rFonts w:ascii="Calibri" w:eastAsia="Times New Roman" w:hAnsi="Calibri" w:cs="Calibri"/>
          <w:b/>
          <w:color w:val="000000"/>
          <w:lang w:eastAsia="it-IT"/>
        </w:rPr>
        <w:t>Il principio della previa dimostrazione analitica dei crediti e delle somme da riscuotere, iscrivibili nelle partite dei residui attivi e computabili ai fini dell’avanzo d’amministrazione, è, nel nostro ordinamento, principio risalente, in ragione della sua stretta inerenza ai concetti di certezza e attendibilità che devono caratterizzare le risultanze della gestione economica e finanziaria.</w:t>
      </w:r>
    </w:p>
    <w:p w:rsidR="00D51A82" w:rsidRPr="00D51A82" w:rsidRDefault="00D51A82" w:rsidP="00D51A82">
      <w:pPr>
        <w:jc w:val="both"/>
        <w:rPr>
          <w:rFonts w:ascii="Calibri" w:eastAsia="Times New Roman" w:hAnsi="Calibri" w:cs="Calibri"/>
          <w:color w:val="000000"/>
          <w:highlight w:val="yellow"/>
          <w:lang w:eastAsia="it-IT"/>
        </w:rPr>
      </w:pPr>
    </w:p>
    <w:p w:rsidR="00D51A82" w:rsidRPr="00D51A82" w:rsidRDefault="00D51A82" w:rsidP="00D51A82">
      <w:pPr>
        <w:jc w:val="both"/>
        <w:rPr>
          <w:rFonts w:ascii="Calibri" w:eastAsia="Times New Roman" w:hAnsi="Calibri" w:cs="Calibri"/>
          <w:color w:val="000000"/>
          <w:highlight w:val="yellow"/>
          <w:lang w:eastAsia="it-IT"/>
        </w:rPr>
      </w:pPr>
    </w:p>
    <w:p w:rsidR="00D51A82" w:rsidRPr="00D51A82" w:rsidRDefault="00D51A82" w:rsidP="00D51A82">
      <w:pPr>
        <w:jc w:val="both"/>
        <w:rPr>
          <w:rFonts w:ascii="Calibri" w:eastAsia="Times New Roman" w:hAnsi="Calibri" w:cs="Calibri"/>
          <w:color w:val="000000"/>
          <w:highlight w:val="yellow"/>
          <w:lang w:eastAsia="it-IT"/>
        </w:rPr>
      </w:pPr>
    </w:p>
    <w:p w:rsidR="00D51A82" w:rsidRPr="00D51A82" w:rsidRDefault="00D51A82" w:rsidP="00D51A82">
      <w:pPr>
        <w:jc w:val="both"/>
        <w:rPr>
          <w:rFonts w:ascii="Calibri" w:eastAsia="Times New Roman" w:hAnsi="Calibri" w:cs="Calibri"/>
          <w:color w:val="000000"/>
          <w:highlight w:val="yellow"/>
          <w:lang w:eastAsia="it-IT"/>
        </w:rPr>
      </w:pPr>
    </w:p>
    <w:p w:rsidR="00D51A82" w:rsidRPr="00D51A82" w:rsidRDefault="00D51A82" w:rsidP="00D51A82">
      <w:pPr>
        <w:jc w:val="both"/>
        <w:rPr>
          <w:rFonts w:ascii="Calibri" w:eastAsia="Times New Roman" w:hAnsi="Calibri" w:cs="Calibri"/>
          <w:color w:val="000000"/>
          <w:lang w:eastAsia="it-IT"/>
        </w:rPr>
      </w:pPr>
      <w:r w:rsidRPr="00D51A82">
        <w:rPr>
          <w:rFonts w:ascii="Calibri" w:eastAsia="Times New Roman" w:hAnsi="Calibri" w:cs="Calibri"/>
          <w:b/>
          <w:color w:val="000000"/>
          <w:lang w:eastAsia="it-IT"/>
        </w:rPr>
        <w:t>È opportuno sottolineare come la prevenzione di pratiche contabili</w:t>
      </w:r>
      <w:r w:rsidRPr="00D51A82">
        <w:rPr>
          <w:rFonts w:ascii="Calibri" w:eastAsia="Times New Roman" w:hAnsi="Calibri" w:cs="Calibri"/>
          <w:color w:val="000000"/>
          <w:lang w:eastAsia="it-IT"/>
        </w:rPr>
        <w:t xml:space="preserve"> – ancorché formalizzate in atti di natura legislativa – </w:t>
      </w:r>
      <w:r w:rsidRPr="00D51A82">
        <w:rPr>
          <w:rFonts w:ascii="Calibri" w:eastAsia="Times New Roman" w:hAnsi="Calibri" w:cs="Calibri"/>
          <w:b/>
          <w:color w:val="000000"/>
          <w:lang w:eastAsia="it-IT"/>
        </w:rPr>
        <w:t xml:space="preserve">suscettibili di alterare la consistenza dei risultati economico finanziari degli enti territoriali </w:t>
      </w:r>
      <w:r w:rsidRPr="00D51A82">
        <w:rPr>
          <w:rFonts w:ascii="Calibri" w:eastAsia="Times New Roman" w:hAnsi="Calibri" w:cs="Calibri"/>
          <w:color w:val="000000"/>
          <w:lang w:eastAsia="it-IT"/>
        </w:rPr>
        <w:t>sia un obiettivo prioritario al centro dell’evoluzione legislativa determinatasi in materia.</w:t>
      </w:r>
    </w:p>
    <w:p w:rsidR="00D51A82" w:rsidRPr="00D51A82" w:rsidRDefault="00D51A82" w:rsidP="00D51A82">
      <w:pPr>
        <w:jc w:val="both"/>
        <w:rPr>
          <w:rFonts w:ascii="Calibri" w:eastAsia="Times New Roman" w:hAnsi="Calibri" w:cs="Calibri"/>
          <w:color w:val="000000"/>
          <w:lang w:eastAsia="it-IT"/>
        </w:rPr>
      </w:pPr>
    </w:p>
    <w:p w:rsidR="00D51A82" w:rsidRPr="00D51A82" w:rsidRDefault="00D51A82" w:rsidP="00D51A82">
      <w:pPr>
        <w:jc w:val="both"/>
        <w:rPr>
          <w:rFonts w:ascii="Calibri" w:eastAsia="Times New Roman" w:hAnsi="Calibri" w:cs="Calibri"/>
          <w:color w:val="000000"/>
          <w:lang w:eastAsia="it-IT"/>
        </w:rPr>
      </w:pPr>
    </w:p>
    <w:p w:rsidR="00D51A82" w:rsidRPr="00D51A82" w:rsidRDefault="00D51A82" w:rsidP="00D51A82">
      <w:pPr>
        <w:jc w:val="both"/>
        <w:rPr>
          <w:rFonts w:ascii="Calibri" w:eastAsia="Calibri" w:hAnsi="Calibri" w:cs="Times New Roman"/>
          <w:b/>
          <w:lang w:eastAsia="it-IT"/>
        </w:rPr>
      </w:pPr>
      <w:r w:rsidRPr="00D51A82">
        <w:rPr>
          <w:rFonts w:ascii="Calibri" w:eastAsia="Calibri" w:hAnsi="Calibri" w:cs="Times New Roman"/>
          <w:b/>
          <w:lang w:eastAsia="it-IT"/>
        </w:rPr>
        <w:t>l’accertamento delle partite attive provenienti da esercizi precedenti dovrà essere ancora più limitato e rigoroso di quanto previsto dall’art. 21 della legge quadro sulla finanza regionale n. 76 del 2000, per effetto dell’obbligatoria istituzione di una posta correttiva in diminuzione, cosiddetto “fondo svalutazione crediti”,</w:t>
      </w:r>
      <w:r w:rsidRPr="00D51A82">
        <w:rPr>
          <w:rFonts w:ascii="Calibri" w:eastAsia="Calibri" w:hAnsi="Calibri" w:cs="Times New Roman"/>
          <w:lang w:eastAsia="it-IT"/>
        </w:rPr>
        <w:t xml:space="preserve"> proporzionale «alla dimensione degli stanziamenti relativi ai crediti, […] [a]</w:t>
      </w:r>
      <w:proofErr w:type="spellStart"/>
      <w:r w:rsidRPr="00D51A82">
        <w:rPr>
          <w:rFonts w:ascii="Calibri" w:eastAsia="Calibri" w:hAnsi="Calibri" w:cs="Times New Roman"/>
          <w:lang w:eastAsia="it-IT"/>
        </w:rPr>
        <w:t>lla</w:t>
      </w:r>
      <w:proofErr w:type="spellEnd"/>
      <w:r w:rsidRPr="00D51A82">
        <w:rPr>
          <w:rFonts w:ascii="Calibri" w:eastAsia="Calibri" w:hAnsi="Calibri" w:cs="Times New Roman"/>
          <w:lang w:eastAsia="it-IT"/>
        </w:rPr>
        <w:t> loro natura e [a]</w:t>
      </w:r>
      <w:proofErr w:type="spellStart"/>
      <w:r w:rsidRPr="00D51A82">
        <w:rPr>
          <w:rFonts w:ascii="Calibri" w:eastAsia="Calibri" w:hAnsi="Calibri" w:cs="Times New Roman"/>
          <w:lang w:eastAsia="it-IT"/>
        </w:rPr>
        <w:t>ll’andamento</w:t>
      </w:r>
      <w:proofErr w:type="spellEnd"/>
      <w:r w:rsidRPr="00D51A82">
        <w:rPr>
          <w:rFonts w:ascii="Calibri" w:eastAsia="Calibri" w:hAnsi="Calibri" w:cs="Times New Roman"/>
          <w:lang w:eastAsia="it-IT"/>
        </w:rPr>
        <w:t xml:space="preserve"> del fenomeno negli ultimi cinque esercizi precedenti (la media del rapporto tra incassi e accertamenti per ciascuna tipologia di entrata)» (art. 7, comma 1, allegato 2, punto 3.3). </w:t>
      </w:r>
      <w:r w:rsidRPr="00D51A82">
        <w:rPr>
          <w:rFonts w:ascii="Calibri" w:eastAsia="Calibri" w:hAnsi="Calibri" w:cs="Times New Roman"/>
          <w:b/>
          <w:lang w:eastAsia="it-IT"/>
        </w:rPr>
        <w:t>In sostanza la parte attiva del bilancio, inerente ai residui attivi, già soggetta ad accertamento secondo quanto in precedenza specificato, dovrebbe essere compensata da una ulteriore decurtazione, secondo un coefficiente proporzionale alla capacità media di realizzazione dei crediti del quinquennio precedente.</w:t>
      </w:r>
    </w:p>
    <w:p w:rsidR="00D51A82" w:rsidRPr="00D51A82" w:rsidRDefault="00D51A82" w:rsidP="00D51A82">
      <w:pPr>
        <w:jc w:val="both"/>
        <w:rPr>
          <w:rFonts w:ascii="Calibri" w:eastAsia="Calibri" w:hAnsi="Calibri" w:cs="Calibri"/>
        </w:rPr>
      </w:pPr>
    </w:p>
    <w:p w:rsidR="00D51A82" w:rsidRPr="00D51A82" w:rsidRDefault="00D51A82" w:rsidP="00D51A82">
      <w:pPr>
        <w:jc w:val="both"/>
        <w:rPr>
          <w:rFonts w:ascii="Calibri" w:eastAsia="Calibri" w:hAnsi="Calibri" w:cs="Calibri"/>
        </w:rPr>
      </w:pPr>
      <w:r w:rsidRPr="00D51A82">
        <w:rPr>
          <w:rFonts w:ascii="Calibri" w:eastAsia="Calibri" w:hAnsi="Calibri" w:cs="Calibri"/>
        </w:rPr>
        <w:t>Delibera Sezione Autonomie della Corte dei Conti n. 4/2015</w:t>
      </w:r>
    </w:p>
    <w:p w:rsidR="00D51A82" w:rsidRPr="00D51A82" w:rsidRDefault="00D51A82" w:rsidP="00D51A82">
      <w:pPr>
        <w:jc w:val="both"/>
        <w:rPr>
          <w:rFonts w:ascii="Calibri" w:eastAsia="Calibri" w:hAnsi="Calibri" w:cs="Times New Roman"/>
          <w:b/>
        </w:rPr>
      </w:pPr>
      <w:r w:rsidRPr="00D51A82">
        <w:rPr>
          <w:rFonts w:ascii="Calibri" w:eastAsia="Calibri" w:hAnsi="Calibri" w:cs="Times New Roman"/>
          <w:b/>
        </w:rPr>
        <w:t>La determinazione delle entrate di dubbia e difficile esazione e la conseguente “svalutazione” deve pertanto avere effetti sulla programmazione degli impieghi delle medesime, in termini di spesa pubblica, al fine di tutelare l’ente dal rischio di utilizzare entrate non effettive, finanziando obbligazioni passive scadute ed esigibili con entrate non disponibili e quindi finanziando il bilancio e la gestione</w:t>
      </w:r>
      <w:r w:rsidRPr="00D51A82">
        <w:rPr>
          <w:rFonts w:ascii="Calibri" w:eastAsia="Calibri" w:hAnsi="Calibri" w:cs="Times New Roman"/>
        </w:rPr>
        <w:t xml:space="preserve"> in “</w:t>
      </w:r>
      <w:r w:rsidRPr="00D51A82">
        <w:rPr>
          <w:rFonts w:ascii="Calibri" w:eastAsia="Calibri" w:hAnsi="Calibri" w:cs="Times New Roman"/>
          <w:b/>
        </w:rPr>
        <w:t>sostanziale situazione di disavanzo”</w:t>
      </w:r>
      <w:r w:rsidRPr="00D51A82">
        <w:rPr>
          <w:rFonts w:ascii="Calibri" w:eastAsia="Calibri" w:hAnsi="Calibri" w:cs="Times New Roman"/>
        </w:rPr>
        <w:t xml:space="preserve"> (in tal senso, Corte </w:t>
      </w:r>
      <w:proofErr w:type="spellStart"/>
      <w:r w:rsidRPr="00D51A82">
        <w:rPr>
          <w:rFonts w:ascii="Calibri" w:eastAsia="Calibri" w:hAnsi="Calibri" w:cs="Times New Roman"/>
        </w:rPr>
        <w:t>cost</w:t>
      </w:r>
      <w:proofErr w:type="spellEnd"/>
      <w:r w:rsidRPr="00D51A82">
        <w:rPr>
          <w:rFonts w:ascii="Calibri" w:eastAsia="Calibri" w:hAnsi="Calibri" w:cs="Times New Roman"/>
        </w:rPr>
        <w:t>., sentenze n. 250 del 2013 e n. 213 del 2008, in ordine alla “necessaria” «</w:t>
      </w:r>
      <w:r w:rsidRPr="00D51A82">
        <w:rPr>
          <w:rFonts w:ascii="Calibri" w:eastAsia="Calibri" w:hAnsi="Calibri" w:cs="Times New Roman"/>
          <w:b/>
        </w:rPr>
        <w:t>contestualità […] dei presupposti che giustificano le previsioni di spesa con quelli posti a fondamento delle previsioni di entrata necessarie per la copertura finanziaria delle prime»).</w:t>
      </w:r>
    </w:p>
    <w:p w:rsidR="00D51A82" w:rsidRPr="00D51A82" w:rsidRDefault="00D51A82" w:rsidP="00D51A82">
      <w:pPr>
        <w:jc w:val="both"/>
        <w:rPr>
          <w:rFonts w:ascii="Calibri" w:eastAsia="Calibri" w:hAnsi="Calibri" w:cs="Times New Roman"/>
        </w:rPr>
      </w:pPr>
    </w:p>
    <w:p w:rsidR="00D51A82" w:rsidRPr="00D51A82" w:rsidRDefault="00D51A82" w:rsidP="00D51A82">
      <w:pPr>
        <w:jc w:val="both"/>
        <w:rPr>
          <w:rFonts w:ascii="Calibri" w:eastAsia="Calibri" w:hAnsi="Calibri" w:cs="Calibri"/>
        </w:rPr>
      </w:pPr>
    </w:p>
    <w:p w:rsidR="00D51A82" w:rsidRDefault="00D51A82" w:rsidP="00D51A82">
      <w:pPr>
        <w:jc w:val="both"/>
        <w:rPr>
          <w:rFonts w:ascii="Calibri" w:eastAsia="Calibri" w:hAnsi="Calibri" w:cs="Calibri"/>
        </w:rPr>
      </w:pPr>
    </w:p>
    <w:p w:rsidR="003361A3" w:rsidRDefault="003361A3" w:rsidP="00D51A82">
      <w:pPr>
        <w:jc w:val="both"/>
        <w:rPr>
          <w:rFonts w:ascii="Calibri" w:eastAsia="Calibri" w:hAnsi="Calibri" w:cs="Calibri"/>
        </w:rPr>
      </w:pPr>
    </w:p>
    <w:p w:rsidR="003361A3" w:rsidRDefault="003361A3" w:rsidP="00D51A82">
      <w:pPr>
        <w:jc w:val="both"/>
        <w:rPr>
          <w:rFonts w:ascii="Calibri" w:eastAsia="Calibri" w:hAnsi="Calibri" w:cs="Calibri"/>
        </w:rPr>
      </w:pPr>
    </w:p>
    <w:p w:rsidR="003361A3" w:rsidRDefault="003361A3" w:rsidP="00D51A82">
      <w:pPr>
        <w:jc w:val="both"/>
        <w:rPr>
          <w:rFonts w:ascii="Calibri" w:eastAsia="Calibri" w:hAnsi="Calibri" w:cs="Calibri"/>
        </w:rPr>
      </w:pPr>
    </w:p>
    <w:p w:rsidR="003361A3" w:rsidRDefault="003361A3" w:rsidP="00D51A82">
      <w:pPr>
        <w:jc w:val="both"/>
        <w:rPr>
          <w:rFonts w:ascii="Calibri" w:eastAsia="Calibri" w:hAnsi="Calibri" w:cs="Calibri"/>
        </w:rPr>
      </w:pPr>
    </w:p>
    <w:p w:rsidR="003361A3" w:rsidRDefault="003361A3" w:rsidP="00D51A82">
      <w:pPr>
        <w:jc w:val="both"/>
        <w:rPr>
          <w:rFonts w:ascii="Calibri" w:eastAsia="Calibri" w:hAnsi="Calibri" w:cs="Calibri"/>
        </w:rPr>
      </w:pPr>
    </w:p>
    <w:p w:rsidR="003361A3" w:rsidRDefault="003361A3" w:rsidP="00D51A82">
      <w:pPr>
        <w:jc w:val="both"/>
        <w:rPr>
          <w:rFonts w:ascii="Calibri" w:eastAsia="Calibri" w:hAnsi="Calibri" w:cs="Calibri"/>
        </w:rPr>
      </w:pPr>
    </w:p>
    <w:p w:rsidR="003361A3" w:rsidRDefault="003361A3" w:rsidP="00D51A82">
      <w:pPr>
        <w:jc w:val="both"/>
        <w:rPr>
          <w:rFonts w:ascii="Calibri" w:eastAsia="Calibri" w:hAnsi="Calibri" w:cs="Calibri"/>
        </w:rPr>
      </w:pPr>
    </w:p>
    <w:p w:rsidR="003361A3" w:rsidRDefault="003361A3" w:rsidP="00D51A82">
      <w:pPr>
        <w:jc w:val="both"/>
        <w:rPr>
          <w:rFonts w:ascii="Calibri" w:eastAsia="Calibri" w:hAnsi="Calibri" w:cs="Calibri"/>
        </w:rPr>
      </w:pPr>
    </w:p>
    <w:p w:rsidR="003361A3" w:rsidRPr="003361A3" w:rsidRDefault="003361A3" w:rsidP="00D51A82">
      <w:pPr>
        <w:jc w:val="both"/>
        <w:rPr>
          <w:rFonts w:ascii="Calibri" w:eastAsia="Calibri" w:hAnsi="Calibri" w:cs="Calibri"/>
          <w:b/>
          <w:color w:val="FF0000"/>
          <w:sz w:val="32"/>
          <w:szCs w:val="32"/>
        </w:rPr>
      </w:pPr>
      <w:r>
        <w:rPr>
          <w:rFonts w:ascii="Calibri" w:eastAsia="Calibri" w:hAnsi="Calibri" w:cs="Calibri"/>
          <w:b/>
          <w:color w:val="FF0000"/>
          <w:sz w:val="32"/>
          <w:szCs w:val="32"/>
        </w:rPr>
        <w:t xml:space="preserve">6 - </w:t>
      </w:r>
      <w:r w:rsidRPr="003361A3">
        <w:rPr>
          <w:rFonts w:ascii="Calibri" w:eastAsia="Calibri" w:hAnsi="Calibri" w:cs="Calibri"/>
          <w:b/>
          <w:color w:val="FF0000"/>
          <w:sz w:val="32"/>
          <w:szCs w:val="32"/>
        </w:rPr>
        <w:t xml:space="preserve">Il risultato di amministrazione: unicità, valutazione degli aggregati, continuità tra gli esercizi finanziari </w:t>
      </w:r>
    </w:p>
    <w:p w:rsidR="00D51A82" w:rsidRPr="00D51A82" w:rsidRDefault="00D51A82" w:rsidP="00D51A82">
      <w:pPr>
        <w:jc w:val="both"/>
        <w:rPr>
          <w:rFonts w:ascii="Calibri" w:eastAsia="Calibri" w:hAnsi="Calibri" w:cs="Calibri"/>
        </w:rPr>
      </w:pPr>
    </w:p>
    <w:p w:rsidR="00D51A82" w:rsidRDefault="00D51A82" w:rsidP="00D51A82">
      <w:pPr>
        <w:jc w:val="both"/>
        <w:rPr>
          <w:rFonts w:ascii="Calibri" w:eastAsia="Calibri" w:hAnsi="Calibri" w:cs="Calibri"/>
        </w:rPr>
      </w:pPr>
    </w:p>
    <w:p w:rsidR="00871606" w:rsidRDefault="00871606" w:rsidP="00D51A82">
      <w:pPr>
        <w:jc w:val="both"/>
        <w:rPr>
          <w:rFonts w:ascii="Calibri" w:eastAsia="Calibri" w:hAnsi="Calibri" w:cs="Calibri"/>
        </w:rPr>
      </w:pPr>
    </w:p>
    <w:p w:rsidR="00871606" w:rsidRDefault="00871606" w:rsidP="00D51A82">
      <w:pPr>
        <w:jc w:val="both"/>
        <w:rPr>
          <w:rFonts w:ascii="Calibri" w:eastAsia="Calibri" w:hAnsi="Calibri" w:cs="Calibri"/>
        </w:rPr>
      </w:pPr>
    </w:p>
    <w:p w:rsidR="00D51A82" w:rsidRPr="005848B3" w:rsidRDefault="00871606" w:rsidP="00D51A82">
      <w:pPr>
        <w:jc w:val="both"/>
        <w:rPr>
          <w:rFonts w:eastAsia="Calibri" w:cstheme="minorHAnsi"/>
        </w:rPr>
      </w:pPr>
      <w:r w:rsidRPr="005848B3">
        <w:rPr>
          <w:rFonts w:eastAsia="Calibri" w:cstheme="minorHAnsi"/>
        </w:rPr>
        <w:t>S</w:t>
      </w:r>
      <w:r w:rsidR="00010BBE" w:rsidRPr="005848B3">
        <w:rPr>
          <w:rFonts w:eastAsia="Calibri" w:cstheme="minorHAnsi"/>
        </w:rPr>
        <w:t>entenza 105/2019</w:t>
      </w:r>
    </w:p>
    <w:p w:rsidR="00D51A82" w:rsidRPr="005848B3" w:rsidRDefault="00D51A82" w:rsidP="00D51A82">
      <w:pPr>
        <w:jc w:val="both"/>
        <w:rPr>
          <w:rFonts w:eastAsia="Calibri" w:cstheme="minorHAnsi"/>
        </w:rPr>
      </w:pPr>
    </w:p>
    <w:p w:rsidR="00010BBE" w:rsidRPr="005848B3" w:rsidRDefault="00010BBE" w:rsidP="003361A3">
      <w:pPr>
        <w:autoSpaceDE w:val="0"/>
        <w:autoSpaceDN w:val="0"/>
        <w:adjustRightInd w:val="0"/>
        <w:spacing w:after="0" w:line="240" w:lineRule="auto"/>
        <w:jc w:val="both"/>
        <w:rPr>
          <w:rFonts w:cstheme="minorHAnsi"/>
        </w:rPr>
      </w:pPr>
      <w:r w:rsidRPr="005848B3">
        <w:rPr>
          <w:rFonts w:cstheme="minorHAnsi"/>
        </w:rPr>
        <w:t>Non sono inutili alcune considerazioni circa il carattere parzialmente eccentrico della norma</w:t>
      </w:r>
      <w:r w:rsidR="003361A3" w:rsidRPr="005848B3">
        <w:rPr>
          <w:rFonts w:cstheme="minorHAnsi"/>
        </w:rPr>
        <w:t xml:space="preserve"> </w:t>
      </w:r>
      <w:r w:rsidRPr="005848B3">
        <w:rPr>
          <w:rFonts w:cstheme="minorHAnsi"/>
        </w:rPr>
        <w:t>impugnata, la quale condiziona la deroga al principio di decadenza, per decorso del termine, all’avvenuto</w:t>
      </w:r>
      <w:r w:rsidR="00C13AE7" w:rsidRPr="005848B3">
        <w:rPr>
          <w:rFonts w:cstheme="minorHAnsi"/>
        </w:rPr>
        <w:t xml:space="preserve"> </w:t>
      </w:r>
      <w:r w:rsidRPr="005848B3">
        <w:rPr>
          <w:rFonts w:cstheme="minorHAnsi"/>
        </w:rPr>
        <w:t>«conseguimento di un miglioramento, inteso quale aumento dell’avanzo di amministrazione o diminuzione</w:t>
      </w:r>
      <w:r w:rsidR="00C13AE7" w:rsidRPr="005848B3">
        <w:rPr>
          <w:rFonts w:cstheme="minorHAnsi"/>
        </w:rPr>
        <w:t xml:space="preserve"> </w:t>
      </w:r>
      <w:r w:rsidRPr="005848B3">
        <w:rPr>
          <w:rFonts w:cstheme="minorHAnsi"/>
        </w:rPr>
        <w:t>del disavanzo di amministrazione, registrato nell’ultimo rendiconto approvato dall’ente locale».</w:t>
      </w:r>
    </w:p>
    <w:p w:rsidR="00010BBE" w:rsidRPr="005848B3" w:rsidRDefault="00010BBE" w:rsidP="003361A3">
      <w:pPr>
        <w:autoSpaceDE w:val="0"/>
        <w:autoSpaceDN w:val="0"/>
        <w:adjustRightInd w:val="0"/>
        <w:spacing w:after="0" w:line="240" w:lineRule="auto"/>
        <w:jc w:val="both"/>
        <w:rPr>
          <w:rFonts w:cstheme="minorHAnsi"/>
        </w:rPr>
      </w:pPr>
      <w:r w:rsidRPr="005848B3">
        <w:rPr>
          <w:rFonts w:cstheme="minorHAnsi"/>
        </w:rPr>
        <w:t>Se la norma censurata non presenta aporie logiche per l’ipotesi della «diminuzione del disavanzo di</w:t>
      </w:r>
      <w:r w:rsidR="005848B3">
        <w:rPr>
          <w:rFonts w:cstheme="minorHAnsi"/>
        </w:rPr>
        <w:t xml:space="preserve"> </w:t>
      </w:r>
      <w:r w:rsidRPr="005848B3">
        <w:rPr>
          <w:rFonts w:cstheme="minorHAnsi"/>
        </w:rPr>
        <w:t>amministrazione», altrettanto non può dirsi per quella dell’«aumento dell’avanzo di amministrazione».</w:t>
      </w:r>
    </w:p>
    <w:p w:rsidR="00010BBE" w:rsidRPr="005848B3" w:rsidRDefault="00010BBE" w:rsidP="003361A3">
      <w:pPr>
        <w:autoSpaceDE w:val="0"/>
        <w:autoSpaceDN w:val="0"/>
        <w:adjustRightInd w:val="0"/>
        <w:spacing w:after="0" w:line="240" w:lineRule="auto"/>
        <w:jc w:val="both"/>
        <w:rPr>
          <w:rFonts w:cstheme="minorHAnsi"/>
        </w:rPr>
      </w:pPr>
      <w:r w:rsidRPr="005848B3">
        <w:rPr>
          <w:rFonts w:cstheme="minorHAnsi"/>
        </w:rPr>
        <w:t>Quest’ultima presuppone la preesistenza di un avanzo di amministrazione del tutto incompatibile con la</w:t>
      </w:r>
      <w:r w:rsidR="00C13AE7" w:rsidRPr="005848B3">
        <w:rPr>
          <w:rFonts w:cstheme="minorHAnsi"/>
        </w:rPr>
        <w:t xml:space="preserve"> </w:t>
      </w:r>
      <w:r w:rsidRPr="005848B3">
        <w:rPr>
          <w:rFonts w:cstheme="minorHAnsi"/>
        </w:rPr>
        <w:t>preesistenza o l’avviamento del piano pluriennale di riequilibrio.</w:t>
      </w:r>
    </w:p>
    <w:p w:rsidR="00010BBE" w:rsidRPr="005848B3" w:rsidRDefault="00010BBE" w:rsidP="003361A3">
      <w:pPr>
        <w:autoSpaceDE w:val="0"/>
        <w:autoSpaceDN w:val="0"/>
        <w:adjustRightInd w:val="0"/>
        <w:spacing w:after="0" w:line="240" w:lineRule="auto"/>
        <w:jc w:val="both"/>
        <w:rPr>
          <w:rFonts w:cstheme="minorHAnsi"/>
        </w:rPr>
      </w:pPr>
      <w:r w:rsidRPr="005848B3">
        <w:rPr>
          <w:rFonts w:cstheme="minorHAnsi"/>
        </w:rPr>
        <w:t>A ben vedere non si tratta di una contraddizione in termini innocua perché già in passato (fattispecie di</w:t>
      </w:r>
      <w:r w:rsidR="00C13AE7" w:rsidRPr="005848B3">
        <w:rPr>
          <w:rFonts w:cstheme="minorHAnsi"/>
        </w:rPr>
        <w:t xml:space="preserve"> </w:t>
      </w:r>
      <w:r w:rsidRPr="005848B3">
        <w:rPr>
          <w:rFonts w:cstheme="minorHAnsi"/>
        </w:rPr>
        <w:t>cui alla sentenza n. 274 del 2017 e fattispecie di cui alla sentenza n. 49 del 2018) l’ambigua formulazione</w:t>
      </w:r>
      <w:r w:rsidR="00C13AE7" w:rsidRPr="005848B3">
        <w:rPr>
          <w:rFonts w:cstheme="minorHAnsi"/>
        </w:rPr>
        <w:t xml:space="preserve"> </w:t>
      </w:r>
      <w:r w:rsidRPr="005848B3">
        <w:rPr>
          <w:rFonts w:cstheme="minorHAnsi"/>
        </w:rPr>
        <w:t>normativa inerente al concetto di avanzo di amministrazione ha indotto alcuni enti territoriali a introdurre</w:t>
      </w:r>
      <w:r w:rsidR="00C13AE7" w:rsidRPr="005848B3">
        <w:rPr>
          <w:rFonts w:cstheme="minorHAnsi"/>
        </w:rPr>
        <w:t xml:space="preserve"> </w:t>
      </w:r>
      <w:r w:rsidRPr="005848B3">
        <w:rPr>
          <w:rFonts w:cstheme="minorHAnsi"/>
        </w:rPr>
        <w:t>disposizioni in materia di bilancio costituzionalmente illegittime.</w:t>
      </w:r>
    </w:p>
    <w:p w:rsidR="00010BBE" w:rsidRPr="005848B3" w:rsidRDefault="00010BBE" w:rsidP="003361A3">
      <w:pPr>
        <w:autoSpaceDE w:val="0"/>
        <w:autoSpaceDN w:val="0"/>
        <w:adjustRightInd w:val="0"/>
        <w:spacing w:after="0" w:line="240" w:lineRule="auto"/>
        <w:jc w:val="both"/>
        <w:rPr>
          <w:rFonts w:cstheme="minorHAnsi"/>
          <w:b/>
        </w:rPr>
      </w:pPr>
      <w:r w:rsidRPr="005848B3">
        <w:rPr>
          <w:rFonts w:cstheme="minorHAnsi"/>
          <w:b/>
        </w:rPr>
        <w:t>In particolare, l’avanzo di amministrazione non può essere confuso con il saldo attivo di cassa e neppure</w:t>
      </w:r>
      <w:r w:rsidR="00C13AE7" w:rsidRPr="005848B3">
        <w:rPr>
          <w:rFonts w:cstheme="minorHAnsi"/>
          <w:b/>
        </w:rPr>
        <w:t xml:space="preserve"> </w:t>
      </w:r>
      <w:r w:rsidRPr="005848B3">
        <w:rPr>
          <w:rFonts w:cstheme="minorHAnsi"/>
          <w:b/>
        </w:rPr>
        <w:t>con un risultato di esercizio annuale positivo. Mentre un miglioramento dei saldi di cassa o un risultato</w:t>
      </w:r>
      <w:r w:rsidR="00C13AE7" w:rsidRPr="005848B3">
        <w:rPr>
          <w:rFonts w:cstheme="minorHAnsi"/>
          <w:b/>
        </w:rPr>
        <w:t xml:space="preserve"> </w:t>
      </w:r>
      <w:r w:rsidRPr="005848B3">
        <w:rPr>
          <w:rFonts w:cstheme="minorHAnsi"/>
          <w:b/>
        </w:rPr>
        <w:t>annuale positivo non sono affatto incompatibili con l’esistenza o la necessità di un piano pluriennale di</w:t>
      </w:r>
      <w:r w:rsidR="00C13AE7" w:rsidRPr="005848B3">
        <w:rPr>
          <w:rFonts w:cstheme="minorHAnsi"/>
          <w:b/>
        </w:rPr>
        <w:t xml:space="preserve"> </w:t>
      </w:r>
      <w:r w:rsidRPr="005848B3">
        <w:rPr>
          <w:rFonts w:cstheme="minorHAnsi"/>
          <w:b/>
        </w:rPr>
        <w:t>riequilibrio finanziario, dal momento che detti miglioramenti ben possono essere inidonei a compensare</w:t>
      </w:r>
      <w:r w:rsidR="00C13AE7" w:rsidRPr="005848B3">
        <w:rPr>
          <w:rFonts w:cstheme="minorHAnsi"/>
          <w:b/>
        </w:rPr>
        <w:t xml:space="preserve"> </w:t>
      </w:r>
      <w:r w:rsidRPr="005848B3">
        <w:rPr>
          <w:rFonts w:cstheme="minorHAnsi"/>
          <w:b/>
        </w:rPr>
        <w:t>interamente lo squilibrio strutturale, analoga ipotetica relazione non è configurabile per l’avanzo di</w:t>
      </w:r>
      <w:r w:rsidR="00C13AE7" w:rsidRPr="005848B3">
        <w:rPr>
          <w:rFonts w:cstheme="minorHAnsi"/>
          <w:b/>
        </w:rPr>
        <w:t xml:space="preserve"> </w:t>
      </w:r>
      <w:r w:rsidRPr="005848B3">
        <w:rPr>
          <w:rFonts w:cstheme="minorHAnsi"/>
          <w:b/>
        </w:rPr>
        <w:t>amministrazione. Quest’ultimo è tale solo se tiene conto – compensandoli completamente in modo</w:t>
      </w:r>
      <w:r w:rsidR="00C13AE7" w:rsidRPr="005848B3">
        <w:rPr>
          <w:rFonts w:cstheme="minorHAnsi"/>
          <w:b/>
        </w:rPr>
        <w:t xml:space="preserve"> </w:t>
      </w:r>
      <w:r w:rsidRPr="005848B3">
        <w:rPr>
          <w:rFonts w:cstheme="minorHAnsi"/>
          <w:b/>
        </w:rPr>
        <w:t>definitivo – degli accantonamenti scaglionati nel tempo contemplati dal piano di riequilibrio.</w:t>
      </w:r>
    </w:p>
    <w:p w:rsidR="00D51A82" w:rsidRPr="005848B3" w:rsidRDefault="00010BBE" w:rsidP="003361A3">
      <w:pPr>
        <w:autoSpaceDE w:val="0"/>
        <w:autoSpaceDN w:val="0"/>
        <w:adjustRightInd w:val="0"/>
        <w:spacing w:after="0" w:line="240" w:lineRule="auto"/>
        <w:jc w:val="both"/>
        <w:rPr>
          <w:rFonts w:cstheme="minorHAnsi"/>
          <w:b/>
        </w:rPr>
      </w:pPr>
      <w:r w:rsidRPr="005848B3">
        <w:rPr>
          <w:rFonts w:cstheme="minorHAnsi"/>
          <w:b/>
        </w:rPr>
        <w:t>Di qui la necessità di una chiarezza tassonomica del legislatore poiché «l’assenza di un risultato univoco</w:t>
      </w:r>
      <w:r w:rsidR="00C13AE7" w:rsidRPr="005848B3">
        <w:rPr>
          <w:rFonts w:cstheme="minorHAnsi"/>
          <w:b/>
        </w:rPr>
        <w:t xml:space="preserve"> </w:t>
      </w:r>
      <w:r w:rsidRPr="005848B3">
        <w:rPr>
          <w:rFonts w:cstheme="minorHAnsi"/>
          <w:b/>
        </w:rPr>
        <w:t>di amministrazione, l’incongruità degli elementi aggregati per il suo calcolo e l’inderogabile principio di</w:t>
      </w:r>
      <w:r w:rsidR="00C13AE7" w:rsidRPr="005848B3">
        <w:rPr>
          <w:rFonts w:cstheme="minorHAnsi"/>
          <w:b/>
        </w:rPr>
        <w:t xml:space="preserve"> </w:t>
      </w:r>
      <w:r w:rsidRPr="005848B3">
        <w:rPr>
          <w:rFonts w:cstheme="minorHAnsi"/>
          <w:b/>
        </w:rPr>
        <w:t>continuità tra gli esercizi finanziari […] non essendo utilmente scindibili gli elementi che ne compongono la</w:t>
      </w:r>
      <w:r w:rsidR="00C13AE7" w:rsidRPr="005848B3">
        <w:rPr>
          <w:rFonts w:cstheme="minorHAnsi"/>
          <w:b/>
        </w:rPr>
        <w:t xml:space="preserve"> </w:t>
      </w:r>
      <w:r w:rsidRPr="005848B3">
        <w:rPr>
          <w:rFonts w:cstheme="minorHAnsi"/>
          <w:b/>
        </w:rPr>
        <w:t>struttura […], pregiudicano irrimediabilmente l’armonia logica e matematica che caratterizza</w:t>
      </w:r>
      <w:r w:rsidR="00C13AE7" w:rsidRPr="005848B3">
        <w:rPr>
          <w:rFonts w:cstheme="minorHAnsi"/>
          <w:b/>
        </w:rPr>
        <w:t xml:space="preserve"> </w:t>
      </w:r>
      <w:r w:rsidRPr="005848B3">
        <w:rPr>
          <w:rFonts w:cstheme="minorHAnsi"/>
          <w:b/>
        </w:rPr>
        <w:t>funzionalmente il perseguimento dell’equilibrio del bilancio» (sentenza n. 274 del 2017; in tal senso,</w:t>
      </w:r>
      <w:r w:rsidR="00C13AE7" w:rsidRPr="005848B3">
        <w:rPr>
          <w:rFonts w:cstheme="minorHAnsi"/>
          <w:b/>
        </w:rPr>
        <w:t xml:space="preserve"> </w:t>
      </w:r>
      <w:r w:rsidRPr="005848B3">
        <w:rPr>
          <w:rFonts w:cstheme="minorHAnsi"/>
          <w:b/>
        </w:rPr>
        <w:t>sentenza n. 49 del 2018). In definitiva non può essere assolutamente configurata la compatibilità di un</w:t>
      </w:r>
      <w:r w:rsidR="00C13AE7" w:rsidRPr="005848B3">
        <w:rPr>
          <w:rFonts w:cstheme="minorHAnsi"/>
          <w:b/>
        </w:rPr>
        <w:t xml:space="preserve"> </w:t>
      </w:r>
      <w:r w:rsidRPr="005848B3">
        <w:rPr>
          <w:rFonts w:cstheme="minorHAnsi"/>
          <w:b/>
        </w:rPr>
        <w:t>avanzo di amministrazione con un piano di riequilibrio finanziario pluriennale.</w:t>
      </w:r>
    </w:p>
    <w:p w:rsidR="003C4F88" w:rsidRPr="005848B3" w:rsidRDefault="003C4F88" w:rsidP="003361A3">
      <w:pPr>
        <w:jc w:val="both"/>
        <w:rPr>
          <w:rFonts w:cstheme="minorHAnsi"/>
          <w:b/>
        </w:rPr>
      </w:pPr>
    </w:p>
    <w:p w:rsidR="003C4F88" w:rsidRPr="005848B3" w:rsidRDefault="003C4F88" w:rsidP="003361A3">
      <w:pPr>
        <w:jc w:val="both"/>
        <w:rPr>
          <w:rFonts w:cstheme="minorHAnsi"/>
        </w:rPr>
      </w:pPr>
    </w:p>
    <w:p w:rsidR="00C13AE7" w:rsidRPr="005848B3" w:rsidRDefault="00C13AE7" w:rsidP="003361A3">
      <w:pPr>
        <w:jc w:val="both"/>
        <w:rPr>
          <w:rFonts w:cstheme="minorHAnsi"/>
        </w:rPr>
      </w:pPr>
    </w:p>
    <w:p w:rsidR="00C13AE7" w:rsidRPr="005848B3" w:rsidRDefault="00C13AE7" w:rsidP="003361A3">
      <w:pPr>
        <w:jc w:val="both"/>
        <w:rPr>
          <w:rFonts w:cstheme="minorHAnsi"/>
        </w:rPr>
      </w:pPr>
    </w:p>
    <w:p w:rsidR="00C13AE7" w:rsidRDefault="00C13AE7" w:rsidP="00010BBE">
      <w:pPr>
        <w:rPr>
          <w:rFonts w:ascii="Times New Roman" w:hAnsi="Times New Roman" w:cs="Times New Roman"/>
          <w:sz w:val="24"/>
          <w:szCs w:val="24"/>
        </w:rPr>
      </w:pPr>
    </w:p>
    <w:p w:rsidR="00C13AE7" w:rsidRDefault="00C13AE7" w:rsidP="00010BBE">
      <w:pPr>
        <w:rPr>
          <w:rFonts w:ascii="Times New Roman" w:hAnsi="Times New Roman" w:cs="Times New Roman"/>
          <w:sz w:val="24"/>
          <w:szCs w:val="24"/>
        </w:rPr>
      </w:pPr>
    </w:p>
    <w:p w:rsidR="00C13AE7" w:rsidRPr="00AA4C92" w:rsidRDefault="00AA4C92" w:rsidP="00AA4C92">
      <w:pPr>
        <w:jc w:val="both"/>
        <w:rPr>
          <w:rFonts w:cstheme="minorHAnsi"/>
          <w:b/>
          <w:color w:val="FF0000"/>
          <w:sz w:val="32"/>
          <w:szCs w:val="32"/>
        </w:rPr>
      </w:pPr>
      <w:r>
        <w:rPr>
          <w:rFonts w:cstheme="minorHAnsi"/>
          <w:b/>
          <w:color w:val="FF0000"/>
          <w:sz w:val="32"/>
          <w:szCs w:val="32"/>
        </w:rPr>
        <w:t xml:space="preserve">7 - </w:t>
      </w:r>
      <w:r w:rsidRPr="00AA4C92">
        <w:rPr>
          <w:rFonts w:cstheme="minorHAnsi"/>
          <w:b/>
          <w:color w:val="FF0000"/>
          <w:sz w:val="32"/>
          <w:szCs w:val="32"/>
        </w:rPr>
        <w:t xml:space="preserve">Il principio di rendicontazione, l’equità </w:t>
      </w:r>
      <w:proofErr w:type="spellStart"/>
      <w:r w:rsidRPr="00AA4C92">
        <w:rPr>
          <w:rFonts w:cstheme="minorHAnsi"/>
          <w:b/>
          <w:color w:val="FF0000"/>
          <w:sz w:val="32"/>
          <w:szCs w:val="32"/>
        </w:rPr>
        <w:t>intragenerazionale</w:t>
      </w:r>
      <w:proofErr w:type="spellEnd"/>
      <w:r w:rsidRPr="00AA4C92">
        <w:rPr>
          <w:rFonts w:cstheme="minorHAnsi"/>
          <w:b/>
          <w:color w:val="FF0000"/>
          <w:sz w:val="32"/>
          <w:szCs w:val="32"/>
        </w:rPr>
        <w:t xml:space="preserve"> e intergenerazionale </w:t>
      </w:r>
    </w:p>
    <w:p w:rsidR="00C13AE7" w:rsidRDefault="00C13AE7" w:rsidP="00010BBE">
      <w:pPr>
        <w:rPr>
          <w:rFonts w:ascii="Times New Roman" w:hAnsi="Times New Roman" w:cs="Times New Roman"/>
          <w:sz w:val="24"/>
          <w:szCs w:val="24"/>
        </w:rPr>
      </w:pPr>
    </w:p>
    <w:p w:rsidR="00C13AE7" w:rsidRDefault="00C13AE7" w:rsidP="00010BBE">
      <w:pPr>
        <w:rPr>
          <w:rFonts w:ascii="Times New Roman" w:hAnsi="Times New Roman" w:cs="Times New Roman"/>
          <w:sz w:val="24"/>
          <w:szCs w:val="24"/>
        </w:rPr>
      </w:pPr>
    </w:p>
    <w:p w:rsidR="003C4F88" w:rsidRPr="005848B3" w:rsidRDefault="003C4F88" w:rsidP="00010BBE">
      <w:pPr>
        <w:rPr>
          <w:rFonts w:cstheme="minorHAnsi"/>
        </w:rPr>
      </w:pPr>
      <w:r w:rsidRPr="005848B3">
        <w:rPr>
          <w:rFonts w:cstheme="minorHAnsi"/>
        </w:rPr>
        <w:t xml:space="preserve">Sentenza n. 18/2019 </w:t>
      </w:r>
    </w:p>
    <w:p w:rsidR="003C4F88" w:rsidRPr="005848B3" w:rsidRDefault="003C4F88" w:rsidP="00010BBE">
      <w:pPr>
        <w:rPr>
          <w:rFonts w:cstheme="minorHAnsi"/>
        </w:rPr>
      </w:pPr>
    </w:p>
    <w:p w:rsidR="003C4F88" w:rsidRPr="005848B3" w:rsidRDefault="003C4F88" w:rsidP="00010BBE">
      <w:pPr>
        <w:rPr>
          <w:rFonts w:cstheme="minorHAnsi"/>
        </w:rPr>
      </w:pPr>
    </w:p>
    <w:p w:rsidR="005848B3" w:rsidRDefault="003C4F88" w:rsidP="005D4CA9">
      <w:pPr>
        <w:spacing w:line="240" w:lineRule="auto"/>
        <w:jc w:val="both"/>
        <w:rPr>
          <w:rFonts w:cstheme="minorHAnsi"/>
        </w:rPr>
      </w:pPr>
      <w:r w:rsidRPr="005848B3">
        <w:rPr>
          <w:rFonts w:cstheme="minorHAnsi"/>
        </w:rPr>
        <w:t xml:space="preserve">Infine, il contrasto della norma censurata con gli artt. 81 e 97 </w:t>
      </w:r>
      <w:proofErr w:type="spellStart"/>
      <w:r w:rsidRPr="005848B3">
        <w:rPr>
          <w:rFonts w:cstheme="minorHAnsi"/>
        </w:rPr>
        <w:t>Cost</w:t>
      </w:r>
      <w:proofErr w:type="spellEnd"/>
      <w:r w:rsidRPr="005848B3">
        <w:rPr>
          <w:rFonts w:cstheme="minorHAnsi"/>
        </w:rPr>
        <w:t>., sotto il profilo dell’elusione</w:t>
      </w:r>
      <w:r w:rsidR="005848B3" w:rsidRPr="005848B3">
        <w:rPr>
          <w:rFonts w:cstheme="minorHAnsi"/>
        </w:rPr>
        <w:t xml:space="preserve"> </w:t>
      </w:r>
      <w:r w:rsidRPr="005848B3">
        <w:rPr>
          <w:rFonts w:cstheme="minorHAnsi"/>
        </w:rPr>
        <w:t>del principio di responsabilità nell’esercizio della rappresentanza democratica, risiede innanzitutto nel</w:t>
      </w:r>
      <w:r w:rsidR="005848B3" w:rsidRPr="005848B3">
        <w:rPr>
          <w:rFonts w:cstheme="minorHAnsi"/>
        </w:rPr>
        <w:t xml:space="preserve"> </w:t>
      </w:r>
      <w:r w:rsidRPr="005848B3">
        <w:rPr>
          <w:rFonts w:cstheme="minorHAnsi"/>
        </w:rPr>
        <w:t xml:space="preserve">consentire agli enti locali coinvolti nella procedura di </w:t>
      </w:r>
      <w:proofErr w:type="spellStart"/>
      <w:r w:rsidRPr="005848B3">
        <w:rPr>
          <w:rFonts w:cstheme="minorHAnsi"/>
        </w:rPr>
        <w:t>predissesto</w:t>
      </w:r>
      <w:proofErr w:type="spellEnd"/>
      <w:r w:rsidRPr="005848B3">
        <w:rPr>
          <w:rFonts w:cstheme="minorHAnsi"/>
        </w:rPr>
        <w:t>, e che non sono in grado o non intendono</w:t>
      </w:r>
      <w:r w:rsidR="005848B3" w:rsidRPr="005848B3">
        <w:rPr>
          <w:rFonts w:cstheme="minorHAnsi"/>
        </w:rPr>
        <w:t xml:space="preserve"> </w:t>
      </w:r>
      <w:r w:rsidRPr="005848B3">
        <w:rPr>
          <w:rFonts w:cstheme="minorHAnsi"/>
        </w:rPr>
        <w:t xml:space="preserve">rispettare i termini e le modalità del piano di rientro: </w:t>
      </w:r>
    </w:p>
    <w:p w:rsidR="009D1A7B" w:rsidRDefault="003C4F88" w:rsidP="005D4CA9">
      <w:pPr>
        <w:spacing w:line="240" w:lineRule="auto"/>
        <w:jc w:val="both"/>
        <w:rPr>
          <w:rFonts w:cstheme="minorHAnsi"/>
        </w:rPr>
      </w:pPr>
      <w:r w:rsidRPr="005848B3">
        <w:rPr>
          <w:rFonts w:cstheme="minorHAnsi"/>
        </w:rPr>
        <w:t>a) di non ottemperare alle prescrizioni della</w:t>
      </w:r>
      <w:r w:rsidR="005848B3" w:rsidRPr="005848B3">
        <w:rPr>
          <w:rFonts w:cstheme="minorHAnsi"/>
        </w:rPr>
        <w:t xml:space="preserve"> </w:t>
      </w:r>
      <w:r w:rsidRPr="005848B3">
        <w:rPr>
          <w:rFonts w:cstheme="minorHAnsi"/>
        </w:rPr>
        <w:t xml:space="preserve">magistratura vigilante e di evitare comunque la dichiarazione di dissesto; </w:t>
      </w:r>
    </w:p>
    <w:p w:rsidR="009D1A7B" w:rsidRDefault="003C4F88" w:rsidP="005D4CA9">
      <w:pPr>
        <w:spacing w:line="240" w:lineRule="auto"/>
        <w:jc w:val="both"/>
        <w:rPr>
          <w:rFonts w:cstheme="minorHAnsi"/>
        </w:rPr>
      </w:pPr>
      <w:r w:rsidRPr="005848B3">
        <w:rPr>
          <w:rFonts w:cstheme="minorHAnsi"/>
        </w:rPr>
        <w:t>b) di scaglionare in un trentennio</w:t>
      </w:r>
      <w:r w:rsidR="005848B3" w:rsidRPr="005848B3">
        <w:rPr>
          <w:rFonts w:cstheme="minorHAnsi"/>
        </w:rPr>
        <w:t xml:space="preserve"> </w:t>
      </w:r>
      <w:r w:rsidRPr="005848B3">
        <w:rPr>
          <w:rFonts w:cstheme="minorHAnsi"/>
        </w:rPr>
        <w:t xml:space="preserve">gli accantonamenti inerenti al rientro del disavanzo; </w:t>
      </w:r>
    </w:p>
    <w:p w:rsidR="009D1A7B" w:rsidRDefault="003C4F88" w:rsidP="005D4CA9">
      <w:pPr>
        <w:spacing w:line="240" w:lineRule="auto"/>
        <w:jc w:val="both"/>
        <w:rPr>
          <w:rFonts w:cstheme="minorHAnsi"/>
        </w:rPr>
      </w:pPr>
      <w:r w:rsidRPr="005848B3">
        <w:rPr>
          <w:rFonts w:cstheme="minorHAnsi"/>
        </w:rPr>
        <w:t>c) di confermare il programma antecedente di</w:t>
      </w:r>
      <w:r w:rsidR="005848B3" w:rsidRPr="005848B3">
        <w:rPr>
          <w:rFonts w:cstheme="minorHAnsi"/>
        </w:rPr>
        <w:t xml:space="preserve"> </w:t>
      </w:r>
      <w:r w:rsidRPr="005848B3">
        <w:rPr>
          <w:rFonts w:cstheme="minorHAnsi"/>
        </w:rPr>
        <w:t>pagamento dei creditori, lucrando così la disponibilità – in termini di spesa corrente per l’intero trentennio –</w:t>
      </w:r>
      <w:r w:rsidR="005848B3" w:rsidRPr="005848B3">
        <w:rPr>
          <w:rFonts w:cstheme="minorHAnsi"/>
        </w:rPr>
        <w:t xml:space="preserve"> </w:t>
      </w:r>
      <w:r w:rsidRPr="005848B3">
        <w:rPr>
          <w:rFonts w:cstheme="minorHAnsi"/>
        </w:rPr>
        <w:t>derivante dal minore accantonamento finanziario delle somme necessarie per l’intero periodo di rientro e</w:t>
      </w:r>
      <w:r w:rsidR="005848B3" w:rsidRPr="005848B3">
        <w:rPr>
          <w:rFonts w:cstheme="minorHAnsi"/>
        </w:rPr>
        <w:t xml:space="preserve"> </w:t>
      </w:r>
      <w:r w:rsidRPr="005848B3">
        <w:rPr>
          <w:rFonts w:cstheme="minorHAnsi"/>
        </w:rPr>
        <w:t xml:space="preserve">dall’impiego contra </w:t>
      </w:r>
      <w:proofErr w:type="spellStart"/>
      <w:r w:rsidRPr="005848B3">
        <w:rPr>
          <w:rFonts w:cstheme="minorHAnsi"/>
        </w:rPr>
        <w:t>legem</w:t>
      </w:r>
      <w:proofErr w:type="spellEnd"/>
      <w:r w:rsidRPr="005848B3">
        <w:rPr>
          <w:rFonts w:cstheme="minorHAnsi"/>
        </w:rPr>
        <w:t xml:space="preserve"> delle anticipazioni di liquidità; </w:t>
      </w:r>
    </w:p>
    <w:p w:rsidR="003C4F88" w:rsidRPr="005848B3" w:rsidRDefault="003C4F88" w:rsidP="005D4CA9">
      <w:pPr>
        <w:spacing w:line="240" w:lineRule="auto"/>
        <w:jc w:val="both"/>
        <w:rPr>
          <w:rFonts w:cstheme="minorHAnsi"/>
        </w:rPr>
      </w:pPr>
      <w:r w:rsidRPr="005848B3">
        <w:rPr>
          <w:rFonts w:cstheme="minorHAnsi"/>
        </w:rPr>
        <w:t>d) di aggirare le complesse procedure di verifica</w:t>
      </w:r>
      <w:r w:rsidR="005848B3" w:rsidRPr="005848B3">
        <w:rPr>
          <w:rFonts w:cstheme="minorHAnsi"/>
        </w:rPr>
        <w:t xml:space="preserve"> </w:t>
      </w:r>
      <w:r w:rsidRPr="005848B3">
        <w:rPr>
          <w:rFonts w:cstheme="minorHAnsi"/>
        </w:rPr>
        <w:t>di congruità e sostenibilità del piano attraverso una rimodulazione autonoma in termini esclusivamente</w:t>
      </w:r>
      <w:r w:rsidR="005848B3" w:rsidRPr="005848B3">
        <w:rPr>
          <w:rFonts w:cstheme="minorHAnsi"/>
        </w:rPr>
        <w:t xml:space="preserve"> </w:t>
      </w:r>
      <w:r w:rsidRPr="005848B3">
        <w:rPr>
          <w:rFonts w:cstheme="minorHAnsi"/>
        </w:rPr>
        <w:t>numerici, così sottraendo alla Corte dei conti quello che la sezione rimettente denomina correttamente</w:t>
      </w:r>
      <w:r w:rsidR="005848B3" w:rsidRPr="005848B3">
        <w:rPr>
          <w:rFonts w:cstheme="minorHAnsi"/>
        </w:rPr>
        <w:t xml:space="preserve"> </w:t>
      </w:r>
      <w:r w:rsidRPr="005848B3">
        <w:rPr>
          <w:rFonts w:cstheme="minorHAnsi"/>
        </w:rPr>
        <w:t>«canone concreto di controllo».</w:t>
      </w:r>
    </w:p>
    <w:p w:rsidR="003C4F88" w:rsidRPr="00B473A3" w:rsidRDefault="003C4F88" w:rsidP="005D4CA9">
      <w:pPr>
        <w:spacing w:line="240" w:lineRule="auto"/>
        <w:jc w:val="both"/>
        <w:rPr>
          <w:rFonts w:cstheme="minorHAnsi"/>
          <w:b/>
        </w:rPr>
      </w:pPr>
      <w:r w:rsidRPr="00B473A3">
        <w:rPr>
          <w:rFonts w:cstheme="minorHAnsi"/>
          <w:b/>
        </w:rPr>
        <w:t xml:space="preserve">In pratica, nessuno degli amministratori eletti o </w:t>
      </w:r>
      <w:proofErr w:type="spellStart"/>
      <w:r w:rsidRPr="00B473A3">
        <w:rPr>
          <w:rFonts w:cstheme="minorHAnsi"/>
          <w:b/>
        </w:rPr>
        <w:t>eligendi</w:t>
      </w:r>
      <w:proofErr w:type="spellEnd"/>
      <w:r w:rsidRPr="00B473A3">
        <w:rPr>
          <w:rFonts w:cstheme="minorHAnsi"/>
          <w:b/>
        </w:rPr>
        <w:t xml:space="preserve"> sarà nelle condizioni di presentarsi al giudizio</w:t>
      </w:r>
      <w:r w:rsidR="005848B3" w:rsidRPr="00B473A3">
        <w:rPr>
          <w:rFonts w:cstheme="minorHAnsi"/>
          <w:b/>
        </w:rPr>
        <w:t xml:space="preserve"> </w:t>
      </w:r>
      <w:r w:rsidRPr="00B473A3">
        <w:rPr>
          <w:rFonts w:cstheme="minorHAnsi"/>
          <w:b/>
        </w:rPr>
        <w:t>degli elettori separando i risultati direttamente raggiunti dalle conseguenze imputabili alle gestioni</w:t>
      </w:r>
      <w:r w:rsidR="005848B3" w:rsidRPr="00B473A3">
        <w:rPr>
          <w:rFonts w:cstheme="minorHAnsi"/>
          <w:b/>
        </w:rPr>
        <w:t xml:space="preserve"> </w:t>
      </w:r>
      <w:r w:rsidRPr="00B473A3">
        <w:rPr>
          <w:rFonts w:cstheme="minorHAnsi"/>
          <w:b/>
        </w:rPr>
        <w:t>pregresse. Lo stesso principio di rendicontazione, presupposto fondamentale del circuito democratico</w:t>
      </w:r>
      <w:r w:rsidR="005848B3" w:rsidRPr="00B473A3">
        <w:rPr>
          <w:rFonts w:cstheme="minorHAnsi"/>
          <w:b/>
        </w:rPr>
        <w:t xml:space="preserve"> </w:t>
      </w:r>
      <w:r w:rsidRPr="00B473A3">
        <w:rPr>
          <w:rFonts w:cstheme="minorHAnsi"/>
          <w:b/>
        </w:rPr>
        <w:t>rappresentativo, ne risulta quindi gravemente compromesso.</w:t>
      </w:r>
    </w:p>
    <w:p w:rsidR="003C4F88" w:rsidRPr="005848B3" w:rsidRDefault="003C4F88" w:rsidP="003C4F88">
      <w:pPr>
        <w:spacing w:line="240" w:lineRule="auto"/>
        <w:jc w:val="both"/>
        <w:rPr>
          <w:rFonts w:cstheme="minorHAnsi"/>
        </w:rPr>
      </w:pPr>
    </w:p>
    <w:p w:rsidR="003C4F88" w:rsidRPr="00B473A3" w:rsidRDefault="003C4F88" w:rsidP="005D4CA9">
      <w:pPr>
        <w:spacing w:line="240" w:lineRule="auto"/>
        <w:jc w:val="both"/>
        <w:rPr>
          <w:rFonts w:cstheme="minorHAnsi"/>
          <w:b/>
        </w:rPr>
      </w:pPr>
      <w:r w:rsidRPr="00B473A3">
        <w:rPr>
          <w:rFonts w:cstheme="minorHAnsi"/>
          <w:b/>
        </w:rPr>
        <w:t>L’incremento del deficit strutturale e dell’indebitamento per la spesa corrente ha già indotto questa</w:t>
      </w:r>
      <w:r w:rsidR="005848B3" w:rsidRPr="00B473A3">
        <w:rPr>
          <w:rFonts w:cstheme="minorHAnsi"/>
          <w:b/>
        </w:rPr>
        <w:t xml:space="preserve"> </w:t>
      </w:r>
      <w:r w:rsidRPr="00B473A3">
        <w:rPr>
          <w:rFonts w:cstheme="minorHAnsi"/>
          <w:b/>
        </w:rPr>
        <w:t>Corte a formulare chiari ammonimenti circa l’impraticabilità di soluzioni che trasformino il rientro dal</w:t>
      </w:r>
      <w:r w:rsidR="005848B3" w:rsidRPr="00B473A3">
        <w:rPr>
          <w:rFonts w:cstheme="minorHAnsi"/>
          <w:b/>
        </w:rPr>
        <w:t xml:space="preserve"> </w:t>
      </w:r>
      <w:r w:rsidRPr="00B473A3">
        <w:rPr>
          <w:rFonts w:cstheme="minorHAnsi"/>
          <w:b/>
        </w:rPr>
        <w:t>deficit e dal debito in una deroga permanente e progressiva al principio dell’equilibrio del bilancio: «[f]erma</w:t>
      </w:r>
      <w:r w:rsidR="005848B3" w:rsidRPr="00B473A3">
        <w:rPr>
          <w:rFonts w:cstheme="minorHAnsi"/>
          <w:b/>
        </w:rPr>
        <w:t xml:space="preserve"> </w:t>
      </w:r>
      <w:r w:rsidRPr="00B473A3">
        <w:rPr>
          <w:rFonts w:cstheme="minorHAnsi"/>
          <w:b/>
        </w:rPr>
        <w:t>restando la discrezionalità del legislatore nello scegliere i criteri e le modalità per porre riparo a situazioni di</w:t>
      </w:r>
      <w:r w:rsidR="005848B3" w:rsidRPr="00B473A3">
        <w:rPr>
          <w:rFonts w:cstheme="minorHAnsi"/>
          <w:b/>
        </w:rPr>
        <w:t xml:space="preserve"> </w:t>
      </w:r>
      <w:r w:rsidRPr="00B473A3">
        <w:rPr>
          <w:rFonts w:cstheme="minorHAnsi"/>
          <w:b/>
        </w:rPr>
        <w:t>emergenza finanziaria come quelle afferenti ai disavanzi sommersi, non può non essere sottolineata la</w:t>
      </w:r>
      <w:r w:rsidR="005848B3" w:rsidRPr="00B473A3">
        <w:rPr>
          <w:rFonts w:cstheme="minorHAnsi"/>
          <w:b/>
        </w:rPr>
        <w:t xml:space="preserve"> </w:t>
      </w:r>
      <w:r w:rsidRPr="00B473A3">
        <w:rPr>
          <w:rFonts w:cstheme="minorHAnsi"/>
          <w:b/>
        </w:rPr>
        <w:t>problematicità di soluzioni normative, mutevoli e variegate come quelle precedentemente descritte, le quali</w:t>
      </w:r>
      <w:r w:rsidR="005848B3" w:rsidRPr="00B473A3">
        <w:rPr>
          <w:rFonts w:cstheme="minorHAnsi"/>
          <w:b/>
        </w:rPr>
        <w:t xml:space="preserve"> </w:t>
      </w:r>
      <w:r w:rsidRPr="00B473A3">
        <w:rPr>
          <w:rFonts w:cstheme="minorHAnsi"/>
          <w:b/>
        </w:rPr>
        <w:t>prescrivono il riassorbimento dei disavanzi in archi temporali lunghi e differenziati, ben oltre il ciclo di</w:t>
      </w:r>
      <w:r w:rsidR="005848B3" w:rsidRPr="00B473A3">
        <w:rPr>
          <w:rFonts w:cstheme="minorHAnsi"/>
          <w:b/>
        </w:rPr>
        <w:t xml:space="preserve"> </w:t>
      </w:r>
      <w:r w:rsidRPr="00B473A3">
        <w:rPr>
          <w:rFonts w:cstheme="minorHAnsi"/>
          <w:b/>
        </w:rPr>
        <w:t>bilancio ordinario, con possibili ricadute negative anche in termini di equità intergenerazionale (in senso</w:t>
      </w:r>
      <w:r w:rsidR="005848B3" w:rsidRPr="00B473A3">
        <w:rPr>
          <w:rFonts w:cstheme="minorHAnsi"/>
          <w:b/>
        </w:rPr>
        <w:t xml:space="preserve"> </w:t>
      </w:r>
      <w:r w:rsidRPr="00B473A3">
        <w:rPr>
          <w:rFonts w:cstheme="minorHAnsi"/>
          <w:b/>
        </w:rPr>
        <w:t>conforme, sentenza n. 107 del 2016)» (sentenza n. 6 del 2017).</w:t>
      </w:r>
    </w:p>
    <w:p w:rsidR="003C4F88" w:rsidRPr="005848B3" w:rsidRDefault="003C4F88" w:rsidP="005D4CA9">
      <w:pPr>
        <w:spacing w:line="240" w:lineRule="auto"/>
        <w:jc w:val="both"/>
        <w:rPr>
          <w:rFonts w:cstheme="minorHAnsi"/>
        </w:rPr>
      </w:pPr>
      <w:r w:rsidRPr="005848B3">
        <w:rPr>
          <w:rFonts w:cstheme="minorHAnsi"/>
        </w:rPr>
        <w:t>La tendenza a perpetuare il deficit strutturale nel tempo, attraverso uno stillicidio normativo di rinvii,</w:t>
      </w:r>
      <w:r w:rsidR="005848B3" w:rsidRPr="005848B3">
        <w:rPr>
          <w:rFonts w:cstheme="minorHAnsi"/>
        </w:rPr>
        <w:t xml:space="preserve"> </w:t>
      </w:r>
      <w:r w:rsidRPr="005848B3">
        <w:rPr>
          <w:rFonts w:cstheme="minorHAnsi"/>
        </w:rPr>
        <w:t xml:space="preserve">finisce per paralizzare qualsiasi ragionevole progetto di risanamento, in tal modo </w:t>
      </w:r>
      <w:proofErr w:type="spellStart"/>
      <w:r w:rsidRPr="005848B3">
        <w:rPr>
          <w:rFonts w:cstheme="minorHAnsi"/>
        </w:rPr>
        <w:t>entrando</w:t>
      </w:r>
      <w:proofErr w:type="spellEnd"/>
      <w:r w:rsidRPr="005848B3">
        <w:rPr>
          <w:rFonts w:cstheme="minorHAnsi"/>
        </w:rPr>
        <w:t xml:space="preserve"> in collisione sia</w:t>
      </w:r>
      <w:r w:rsidR="005848B3" w:rsidRPr="005848B3">
        <w:rPr>
          <w:rFonts w:cstheme="minorHAnsi"/>
        </w:rPr>
        <w:t xml:space="preserve"> </w:t>
      </w:r>
      <w:r w:rsidRPr="005848B3">
        <w:rPr>
          <w:rFonts w:cstheme="minorHAnsi"/>
        </w:rPr>
        <w:t xml:space="preserve">con il principio di equità </w:t>
      </w:r>
      <w:proofErr w:type="spellStart"/>
      <w:r w:rsidRPr="005848B3">
        <w:rPr>
          <w:rFonts w:cstheme="minorHAnsi"/>
        </w:rPr>
        <w:t>intragenerazionale</w:t>
      </w:r>
      <w:proofErr w:type="spellEnd"/>
      <w:r w:rsidRPr="005848B3">
        <w:rPr>
          <w:rFonts w:cstheme="minorHAnsi"/>
        </w:rPr>
        <w:t xml:space="preserve"> che intergenerazionale.</w:t>
      </w:r>
    </w:p>
    <w:p w:rsidR="003C4F88" w:rsidRPr="00B473A3" w:rsidRDefault="003C4F88" w:rsidP="005848B3">
      <w:pPr>
        <w:spacing w:line="240" w:lineRule="auto"/>
        <w:jc w:val="both"/>
        <w:rPr>
          <w:b/>
        </w:rPr>
      </w:pPr>
      <w:r w:rsidRPr="00B473A3">
        <w:rPr>
          <w:b/>
        </w:rPr>
        <w:t>L’equità intergenerazionale comporta, altresì, la necessità di non gravare in modo sproporzionato sulle</w:t>
      </w:r>
      <w:r w:rsidR="005848B3" w:rsidRPr="00B473A3">
        <w:rPr>
          <w:b/>
        </w:rPr>
        <w:t xml:space="preserve"> </w:t>
      </w:r>
      <w:r w:rsidRPr="00B473A3">
        <w:rPr>
          <w:b/>
        </w:rPr>
        <w:t>opportunità di crescita delle generazioni future, garantendo loro risorse sufficienti per un equilibrato</w:t>
      </w:r>
      <w:r w:rsidR="005848B3" w:rsidRPr="00B473A3">
        <w:rPr>
          <w:b/>
        </w:rPr>
        <w:t xml:space="preserve"> </w:t>
      </w:r>
      <w:r w:rsidRPr="00B473A3">
        <w:rPr>
          <w:b/>
        </w:rPr>
        <w:t>sviluppo.</w:t>
      </w:r>
      <w:r>
        <w:t xml:space="preserve"> È evidente che, nel caso della norma in esame, l’indebitamento e il deficit strutturale operano</w:t>
      </w:r>
      <w:r w:rsidR="005848B3">
        <w:t xml:space="preserve"> </w:t>
      </w:r>
      <w:r>
        <w:t xml:space="preserve">simbioticamente a favore di un pernicioso allargamento della spesa corrente. </w:t>
      </w:r>
      <w:r w:rsidRPr="00B473A3">
        <w:rPr>
          <w:b/>
        </w:rPr>
        <w:t>E, d’altronde, la regola aurea</w:t>
      </w:r>
      <w:r w:rsidR="005848B3" w:rsidRPr="00B473A3">
        <w:rPr>
          <w:b/>
        </w:rPr>
        <w:t xml:space="preserve"> </w:t>
      </w:r>
      <w:r w:rsidRPr="00B473A3">
        <w:rPr>
          <w:b/>
        </w:rPr>
        <w:t xml:space="preserve">contenuta nell’art. 119, sesto comma, </w:t>
      </w:r>
      <w:proofErr w:type="spellStart"/>
      <w:r w:rsidRPr="00B473A3">
        <w:rPr>
          <w:b/>
        </w:rPr>
        <w:t>Cost</w:t>
      </w:r>
      <w:proofErr w:type="spellEnd"/>
      <w:r w:rsidRPr="00B473A3">
        <w:rPr>
          <w:b/>
        </w:rPr>
        <w:t>. dimostra come l’indebitamento debba essere finalizzato e</w:t>
      </w:r>
      <w:r w:rsidR="005848B3" w:rsidRPr="00B473A3">
        <w:rPr>
          <w:b/>
        </w:rPr>
        <w:t xml:space="preserve"> </w:t>
      </w:r>
      <w:r w:rsidRPr="00B473A3">
        <w:rPr>
          <w:b/>
        </w:rPr>
        <w:t>riservato unicamente agli investimenti in modo da determinare un tendenziale equilibrio tra la dimensione</w:t>
      </w:r>
      <w:r w:rsidR="005848B3" w:rsidRPr="00B473A3">
        <w:rPr>
          <w:b/>
        </w:rPr>
        <w:t xml:space="preserve"> </w:t>
      </w:r>
      <w:r w:rsidRPr="00B473A3">
        <w:rPr>
          <w:b/>
        </w:rPr>
        <w:t>dei suoi costi e i benefici recati nel tempo alle collettività amministrate.</w:t>
      </w:r>
    </w:p>
    <w:p w:rsidR="003C4F88" w:rsidRDefault="003C4F88" w:rsidP="005848B3">
      <w:pPr>
        <w:spacing w:line="240" w:lineRule="auto"/>
        <w:jc w:val="both"/>
      </w:pPr>
      <w:r>
        <w:t xml:space="preserve">Di fronte all’impossibilità di risanare strutturalmente l’ente in disavanzo, la procedura del </w:t>
      </w:r>
      <w:proofErr w:type="spellStart"/>
      <w:r>
        <w:t>predissesto</w:t>
      </w:r>
      <w:proofErr w:type="spellEnd"/>
      <w:r w:rsidR="005848B3">
        <w:t xml:space="preserve"> </w:t>
      </w:r>
      <w:r>
        <w:t>non può essere procrastinata in modo irragionevole, dovendosi necessariamente porre una cesura con il</w:t>
      </w:r>
      <w:r w:rsidR="005848B3">
        <w:t xml:space="preserve"> </w:t>
      </w:r>
      <w:r>
        <w:t>passato così da consentire ai nuovi amministratori di svolgere il loro mandato senza gravose “eredità”.</w:t>
      </w:r>
      <w:r w:rsidR="005848B3">
        <w:t xml:space="preserve"> </w:t>
      </w:r>
      <w:r>
        <w:t>Diverse soluzioni possono essere adottate per assicurare tale discontinuità, e siffatte scelte spettano,</w:t>
      </w:r>
      <w:r w:rsidR="005848B3">
        <w:t xml:space="preserve"> </w:t>
      </w:r>
      <w:r>
        <w:t>ovviamente, al legislatore.</w:t>
      </w:r>
    </w:p>
    <w:p w:rsidR="00C60F12" w:rsidRDefault="00C60F12" w:rsidP="00C13AE7">
      <w:pPr>
        <w:spacing w:line="240" w:lineRule="auto"/>
        <w:jc w:val="both"/>
      </w:pPr>
    </w:p>
    <w:p w:rsidR="00C60F12" w:rsidRDefault="00C60F12" w:rsidP="00C13AE7">
      <w:pPr>
        <w:spacing w:line="240" w:lineRule="auto"/>
        <w:jc w:val="both"/>
      </w:pPr>
    </w:p>
    <w:p w:rsidR="00C60F12" w:rsidRDefault="00C60F12" w:rsidP="00C13AE7">
      <w:pPr>
        <w:spacing w:line="240" w:lineRule="auto"/>
        <w:jc w:val="both"/>
      </w:pPr>
    </w:p>
    <w:p w:rsidR="00C60F12" w:rsidRDefault="00C60F12"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93467E" w:rsidRDefault="0093467E" w:rsidP="00C13AE7">
      <w:pPr>
        <w:spacing w:line="240" w:lineRule="auto"/>
        <w:jc w:val="both"/>
      </w:pPr>
    </w:p>
    <w:p w:rsidR="00C60F12" w:rsidRDefault="00C60F12" w:rsidP="00C13AE7">
      <w:pPr>
        <w:spacing w:line="240" w:lineRule="auto"/>
        <w:jc w:val="both"/>
      </w:pPr>
    </w:p>
    <w:p w:rsidR="0093467E" w:rsidRPr="002356C6" w:rsidRDefault="0093467E" w:rsidP="0093467E">
      <w:pPr>
        <w:pBdr>
          <w:top w:val="single" w:sz="4" w:space="10" w:color="5B9BD5"/>
          <w:bottom w:val="single" w:sz="4" w:space="10" w:color="5B9BD5"/>
        </w:pBdr>
        <w:spacing w:before="360" w:after="360"/>
        <w:ind w:left="864" w:right="864"/>
        <w:jc w:val="center"/>
        <w:rPr>
          <w:rFonts w:ascii="Calibri" w:eastAsia="Calibri" w:hAnsi="Calibri" w:cs="Times New Roman"/>
          <w:b/>
          <w:i/>
          <w:iCs/>
          <w:color w:val="5B9BD5"/>
          <w:sz w:val="32"/>
          <w:szCs w:val="32"/>
          <w:lang w:eastAsia="it-IT"/>
        </w:rPr>
      </w:pPr>
      <w:r>
        <w:rPr>
          <w:rFonts w:ascii="Calibri" w:eastAsia="Calibri" w:hAnsi="Calibri" w:cs="Times New Roman"/>
          <w:b/>
          <w:i/>
          <w:iCs/>
          <w:color w:val="5B9BD5"/>
          <w:sz w:val="32"/>
          <w:szCs w:val="32"/>
          <w:lang w:eastAsia="it-IT"/>
        </w:rPr>
        <w:t xml:space="preserve">8- </w:t>
      </w:r>
      <w:r w:rsidRPr="002356C6">
        <w:rPr>
          <w:rFonts w:ascii="Calibri" w:eastAsia="Calibri" w:hAnsi="Calibri" w:cs="Times New Roman"/>
          <w:b/>
          <w:i/>
          <w:iCs/>
          <w:color w:val="5B9BD5"/>
          <w:sz w:val="32"/>
          <w:szCs w:val="32"/>
          <w:lang w:eastAsia="it-IT"/>
        </w:rPr>
        <w:t>Il Bilancio è un “bene pubblico”</w:t>
      </w:r>
    </w:p>
    <w:p w:rsidR="0093467E" w:rsidRPr="002356C6" w:rsidRDefault="0093467E" w:rsidP="0093467E">
      <w:pPr>
        <w:rPr>
          <w:rFonts w:ascii="Calibri" w:eastAsia="Calibri" w:hAnsi="Calibri" w:cs="Times New Roman"/>
          <w:lang w:eastAsia="it-IT"/>
        </w:rPr>
      </w:pPr>
    </w:p>
    <w:p w:rsidR="0093467E" w:rsidRPr="002356C6" w:rsidRDefault="0093467E" w:rsidP="0093467E">
      <w:pPr>
        <w:jc w:val="both"/>
        <w:rPr>
          <w:rFonts w:ascii="Calibri" w:eastAsia="Calibri" w:hAnsi="Calibri" w:cs="Times New Roman"/>
          <w:b/>
          <w:color w:val="0070C0"/>
          <w:sz w:val="32"/>
          <w:szCs w:val="32"/>
          <w:lang w:eastAsia="it-IT"/>
        </w:rPr>
      </w:pPr>
      <w:r w:rsidRPr="002356C6">
        <w:rPr>
          <w:rFonts w:ascii="Calibri" w:eastAsia="Calibri" w:hAnsi="Calibri" w:cs="Times New Roman"/>
          <w:b/>
          <w:color w:val="0070C0"/>
          <w:sz w:val="32"/>
          <w:szCs w:val="32"/>
          <w:lang w:eastAsia="it-IT"/>
        </w:rPr>
        <w:t>“Proprio a tutela del corretto esercizio del mandato elettorale questa Corte ha affermato che «Occorre ricordare che il bilancio è un “bene pubblico” nel senso che è funzionale a sintetizzare e rendere certe le scelte dell’ente territoriale, sia in ordine all’acquisizione delle entrate, sia alla individuazione degli interventi attuativi delle politiche pubbliche, onere inderogabile per chi è chiamato ad amministrare una determinata collettività ed a sottoporsi al giudizio finale afferente al confronto tra il programmato ed il realizzato. […] Il carattere funzionale del bilancio preventivo e di quello successivo, alla cui mancata approvazione, non a caso, l’ordinamento collega il venir meno del consenso della rappresentanza democratica, presuppone quali caratteri inscindibili la chiarezza, la significatività, la specificazione degli interventi attuativi delle politiche pubbliche. Sotto tale profilo, i moduli standardizzati dell’armonizzazione dei bilanci, i quali devono innanzitutto servire a rendere omogenee, ai fini del consolidamento dei conti e della loro reciproca confrontabilità, le contabilità dell’universo delle pubbliche amministrazioni, così articolato e variegato in relazione alle missioni perseguite, non sono idonei, di per sé, ad illustrare le peculiarità dei programmi, delle loro procedure attuative, dell’organizzazione con cui vengono perseguiti, della rendicontazione di quanto realizzato. Le sofisticate tecniche di standardizzazione, indispensabili per i controlli della finanza pubblica ma caratterizzate dalla difficile accessibilità informativa per il cittadino di media diligenza, devono essere pertanto integrate da esposizioni incisive e divulgative circa il rapporto tra il mandato elettorale e la gestione delle risorse destinate alle pubbliche finalità» (sentenza n. 184 del 2016)”.</w:t>
      </w:r>
    </w:p>
    <w:p w:rsidR="0093467E" w:rsidRPr="002356C6" w:rsidRDefault="0093467E" w:rsidP="0093467E">
      <w:pPr>
        <w:jc w:val="both"/>
        <w:rPr>
          <w:rFonts w:ascii="Calibri" w:eastAsia="Calibri" w:hAnsi="Calibri" w:cs="Times New Roman"/>
          <w:b/>
          <w:color w:val="0070C0"/>
          <w:sz w:val="32"/>
          <w:szCs w:val="32"/>
          <w:lang w:eastAsia="it-IT"/>
        </w:rPr>
      </w:pPr>
      <w:r w:rsidRPr="002356C6">
        <w:rPr>
          <w:rFonts w:ascii="Calibri" w:eastAsia="Calibri" w:hAnsi="Calibri" w:cs="Times New Roman"/>
          <w:b/>
          <w:color w:val="0070C0"/>
          <w:sz w:val="32"/>
          <w:szCs w:val="32"/>
          <w:lang w:eastAsia="it-IT"/>
        </w:rPr>
        <w:t>(Sentenza Corte Costituzionale n. 247/2017)</w:t>
      </w:r>
    </w:p>
    <w:p w:rsidR="00C60F12" w:rsidRDefault="00C60F12" w:rsidP="00C13AE7">
      <w:pPr>
        <w:spacing w:line="240" w:lineRule="auto"/>
        <w:jc w:val="both"/>
      </w:pPr>
    </w:p>
    <w:sectPr w:rsidR="00C60F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84"/>
    <w:rsid w:val="00010BBE"/>
    <w:rsid w:val="00125D84"/>
    <w:rsid w:val="0019125A"/>
    <w:rsid w:val="0027016D"/>
    <w:rsid w:val="003361A3"/>
    <w:rsid w:val="003C4F88"/>
    <w:rsid w:val="003F302F"/>
    <w:rsid w:val="0046358D"/>
    <w:rsid w:val="005848B3"/>
    <w:rsid w:val="005D4CA9"/>
    <w:rsid w:val="00871606"/>
    <w:rsid w:val="009007BD"/>
    <w:rsid w:val="0093467E"/>
    <w:rsid w:val="009A1585"/>
    <w:rsid w:val="009D1A7B"/>
    <w:rsid w:val="00A763E7"/>
    <w:rsid w:val="00AA4C92"/>
    <w:rsid w:val="00AB22B2"/>
    <w:rsid w:val="00B473A3"/>
    <w:rsid w:val="00C13AE7"/>
    <w:rsid w:val="00C26F53"/>
    <w:rsid w:val="00C60F12"/>
    <w:rsid w:val="00C75D8B"/>
    <w:rsid w:val="00CA46FD"/>
    <w:rsid w:val="00CA4762"/>
    <w:rsid w:val="00D51A82"/>
    <w:rsid w:val="00EF6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C35CC-0A8B-4C15-B4D7-33CE8EF9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A47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5DD4-E64E-4A18-A927-AE1076F9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3715</Words>
  <Characters>21182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2</cp:revision>
  <dcterms:created xsi:type="dcterms:W3CDTF">2023-01-21T08:49:00Z</dcterms:created>
  <dcterms:modified xsi:type="dcterms:W3CDTF">2023-01-21T08:49:00Z</dcterms:modified>
</cp:coreProperties>
</file>