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rFonts w:ascii="Goudy Old Style" w:cs="Goudy Old Style" w:hAnsi="Goudy Old Style" w:eastAsia="Goudy Old Style"/>
          <w:b w:val="1"/>
          <w:bCs w:val="1"/>
          <w:sz w:val="21"/>
          <w:szCs w:val="21"/>
        </w:rPr>
      </w:pPr>
      <w:r>
        <w:rPr>
          <w:rFonts w:ascii="Goudy Old Style" w:cs="Goudy Old Style" w:hAnsi="Goudy Old Style" w:eastAsia="Goudy Old Style"/>
          <w:b w:val="1"/>
          <w:bCs w:val="1"/>
          <w:sz w:val="21"/>
          <w:szCs w:val="21"/>
          <w:rtl w:val="0"/>
          <w:lang w:val="it-IT"/>
        </w:rPr>
        <w:t>Canoni di concessione spettanti ai Comuni per il servizio di distribuzione del gas naturale.</w:t>
      </w:r>
    </w:p>
    <w:p>
      <w:pPr>
        <w:pStyle w:val="Normal.0"/>
        <w:jc w:val="both"/>
        <w:rPr>
          <w:rFonts w:ascii="Goudy Old Style" w:cs="Goudy Old Style" w:hAnsi="Goudy Old Style" w:eastAsia="Goudy Old Style"/>
          <w:b w:val="1"/>
          <w:bCs w:val="1"/>
          <w:sz w:val="16"/>
          <w:szCs w:val="16"/>
        </w:rPr>
      </w:pPr>
      <w:r>
        <w:rPr>
          <w:rFonts w:ascii="Goudy Old Style" w:cs="Goudy Old Style" w:hAnsi="Goudy Old Style" w:eastAsia="Goudy Old Style"/>
          <w:b w:val="1"/>
          <w:bCs w:val="1"/>
          <w:sz w:val="16"/>
          <w:szCs w:val="16"/>
          <w:rtl w:val="0"/>
          <w:lang w:val="it-IT"/>
        </w:rPr>
        <w:t>di Tommaso D</w:t>
      </w:r>
      <w:r>
        <w:rPr>
          <w:rFonts w:ascii="Goudy Old Style" w:cs="Goudy Old Style" w:hAnsi="Goudy Old Style" w:eastAsia="Goudy Old Style"/>
          <w:b w:val="1"/>
          <w:bCs w:val="1"/>
          <w:sz w:val="16"/>
          <w:szCs w:val="16"/>
          <w:rtl w:val="0"/>
          <w:lang w:val="it-IT"/>
        </w:rPr>
        <w:t>’</w:t>
      </w:r>
      <w:r>
        <w:rPr>
          <w:rFonts w:ascii="Goudy Old Style" w:cs="Goudy Old Style" w:hAnsi="Goudy Old Style" w:eastAsia="Goudy Old Style"/>
          <w:b w:val="1"/>
          <w:bCs w:val="1"/>
          <w:sz w:val="16"/>
          <w:szCs w:val="16"/>
          <w:rtl w:val="0"/>
          <w:lang w:val="it-IT"/>
        </w:rPr>
        <w:t>Acunzo</w:t>
      </w:r>
    </w:p>
    <w:p>
      <w:pPr>
        <w:pStyle w:val="Normal.0"/>
        <w:jc w:val="both"/>
        <w:rPr>
          <w:rFonts w:ascii="Goudy Old Style" w:cs="Goudy Old Style" w:hAnsi="Goudy Old Style" w:eastAsia="Goudy Old Style"/>
          <w:b w:val="1"/>
          <w:bCs w:val="1"/>
          <w:sz w:val="21"/>
          <w:szCs w:val="21"/>
        </w:rPr>
      </w:pP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Con la recente sentenza del 4 settembre scorso il Tribunale Civile di Verona, ha nuovamente ribadito il principio per cui il gestore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è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tenuto a pagare al Comune, il canone di concessione del gas naturale anche a concessione scaduta.</w:t>
      </w: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Il Tribunale, con la sentenza in esame, afferma nuovamente che il preesistente rapporto sinallagmatico tra le parti come voluto e disciplinato tra le parti, vada conservato e continui anche nel periodo di proroga. Non sono condivisibili infatti le tesi della societ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ricorrente per cui alle gestioni transitorie non sarebbe applicabile 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’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art. 14, ma 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’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art. 15 del d.lgs. 164/2000 che, non opererebbe un rinvio integrale all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’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art. 14, ma sarebbe da riferire (e applicare) solo con riferimento alle modalit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di selezione del gestore e affidamento del servizio e all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’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obbligo del concedente di porre a carico del gestore subentrante il rimborso del valore residuo di reti impianti e altre dotazioni. </w:t>
      </w: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In continuit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con la posizione gi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espressa dalla Corte d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’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Appello di Venezia, il rilievo della societ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non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è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condivisa dal Tribunale in quanto, 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’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art. 15, comma 6, del d.lgs. 164/2000 (a mente del quale decorso il periodo transitorio 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’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ente locale procede all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’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affidamento del servizio secondo le modalit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previste dall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’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art. 14) richiama il precedente articolo 14 nella sua interezza e non gi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à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, come sostenuto da parte opponente, in modo parziale, con la conseguenza che la previsione di cui all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’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art. 14, comma 7, del d.lgs. 164/2000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è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applicabile non solo alla prosecuzione delle gestioni a regime ma anche alla prosecuzione di quelle transitoria.</w:t>
      </w: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Se si aderisse alla tesi della ricorrente si determinerebbe uno squilibrio in favore della societ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in contrasto con la volont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legislativa come espressa nel d.lgs. 164/2000 che continuerebbe a gestire il servizio di distribuzione del gas sul territorio comunale garantendosi gli introiti e le entrate applicando le relative tariffe ma non corrispondendo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il canone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 di concessione del servizio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che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mira a conservare, anche nel per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ì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odo di proroga, il preesistente rapporto sinallagmatico come voluto dalle parti.</w:t>
      </w: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Pertanto si torna a ribadire la debenza del canone di concessione del gas naturale ai Comuni anche a concessione scaduta (confermata dalla Corte Costituzionale con la sentenza n. 239/2021, con la quale sono state dichiarate inammissibili le questioni di legittimit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costituzionale in ordine all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’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art. 1, comma 453, della legge 232/2016) e si ritiene utile per gli amministratori e per gli uffici competenti evidenziare nuovamente che, in assenza di una diversa qualificazione giuridica desumibile dalle clausole delle convenzioni stipulate tra Comuni e societ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à </w:t>
      </w: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>concessionarie, la previsione del pagamento annuale di una somma soggetta a rivalutazione, da corrispondersi a scadenza fissa per tutta la durata residua della concessione, conduce a qualificare la stessa come canone a cui, come detto, resta obbligato il concessionario uscente.</w:t>
      </w: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</w:p>
    <w:p>
      <w:pPr>
        <w:pStyle w:val="Normal.0"/>
        <w:jc w:val="both"/>
        <w:rPr>
          <w:rFonts w:ascii="Goudy Old Style" w:cs="Goudy Old Style" w:hAnsi="Goudy Old Style" w:eastAsia="Goudy Old Style"/>
          <w:sz w:val="21"/>
          <w:szCs w:val="21"/>
        </w:rPr>
      </w:pPr>
    </w:p>
    <w:p>
      <w:pPr>
        <w:pStyle w:val="Normal.0"/>
        <w:jc w:val="both"/>
      </w:pPr>
      <w:r>
        <w:rPr>
          <w:rFonts w:ascii="Goudy Old Style" w:cs="Goudy Old Style" w:hAnsi="Goudy Old Style" w:eastAsia="Goudy Old Style"/>
          <w:sz w:val="21"/>
          <w:szCs w:val="21"/>
          <w:rtl w:val="0"/>
          <w:lang w:val="it-IT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oudy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DE9D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DE9D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