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D1C5A" w14:textId="7D09BD63" w:rsidR="009127AD" w:rsidRDefault="002D0783" w:rsidP="00A306DD">
      <w:pPr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570C1B">
        <w:rPr>
          <w:rFonts w:ascii="Bookman Old Style" w:hAnsi="Bookman Old Style"/>
          <w:noProof/>
        </w:rPr>
        <w:drawing>
          <wp:inline distT="0" distB="0" distL="0" distR="0" wp14:anchorId="2CFBDE1D" wp14:editId="79F6DAC1">
            <wp:extent cx="770890" cy="1159904"/>
            <wp:effectExtent l="0" t="0" r="3810" b="0"/>
            <wp:docPr id="2" name="Immagine 2" descr="ANd9GcTQBnlXsAWEZ4kvbQYLOpyLna6UjJUnblpv0gCmLj95Bdybb_uIe6VF1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ANd9GcTQBnlXsAWEZ4kvbQYLOpyLna6UjJUnblpv0gCmLj95Bdybb_uIe6VF1c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428" cy="11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38ADA" w14:textId="6EF832B5" w:rsidR="00A306DD" w:rsidRPr="00A306DD" w:rsidRDefault="00A306DD" w:rsidP="00A306DD">
      <w:pPr>
        <w:spacing w:line="360" w:lineRule="auto"/>
        <w:rPr>
          <w:rFonts w:ascii="Bookman Old Style" w:hAnsi="Bookman Old Style"/>
          <w:i/>
          <w:iCs/>
          <w:sz w:val="22"/>
          <w:szCs w:val="22"/>
        </w:rPr>
      </w:pPr>
      <w:r w:rsidRPr="00A306DD">
        <w:rPr>
          <w:rFonts w:ascii="Bookman Old Style" w:hAnsi="Bookman Old Style"/>
          <w:i/>
          <w:iCs/>
          <w:sz w:val="22"/>
          <w:szCs w:val="22"/>
        </w:rPr>
        <w:t>Prot. N. 28/VSG/SD</w:t>
      </w:r>
    </w:p>
    <w:p w14:paraId="6F5F1CD6" w14:textId="78D86034" w:rsidR="00433EF0" w:rsidRPr="00A15EBC" w:rsidRDefault="009C5F4C" w:rsidP="00E6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Bookman Old Style" w:hAnsi="Bookman Old Style" w:cs="Times New Roman (Corpo CS)"/>
          <w:b/>
          <w:bCs/>
          <w:smallCaps/>
        </w:rPr>
      </w:pPr>
      <w:r w:rsidRPr="00C66DB7">
        <w:rPr>
          <w:rFonts w:ascii="Bookman Old Style" w:hAnsi="Bookman Old Style" w:cs="Times New Roman (Corpo CS)"/>
          <w:b/>
          <w:bCs/>
          <w:smallCaps/>
          <w:sz w:val="26"/>
          <w:szCs w:val="26"/>
        </w:rPr>
        <w:t xml:space="preserve">Nota sullo svolgimento delle sedute degli organi collegiali </w:t>
      </w:r>
      <w:r w:rsidR="00B92CC5">
        <w:rPr>
          <w:rFonts w:ascii="Bookman Old Style" w:hAnsi="Bookman Old Style" w:cs="Times New Roman (Corpo CS)"/>
          <w:b/>
          <w:bCs/>
          <w:smallCaps/>
          <w:sz w:val="26"/>
          <w:szCs w:val="26"/>
        </w:rPr>
        <w:t xml:space="preserve">da remoto o in </w:t>
      </w:r>
      <w:r w:rsidRPr="00C66DB7">
        <w:rPr>
          <w:rFonts w:ascii="Bookman Old Style" w:hAnsi="Bookman Old Style" w:cs="Times New Roman (Corpo CS)"/>
          <w:b/>
          <w:bCs/>
          <w:smallCaps/>
          <w:sz w:val="26"/>
          <w:szCs w:val="26"/>
        </w:rPr>
        <w:t>modalità</w:t>
      </w:r>
      <w:r w:rsidR="00C66DB7">
        <w:rPr>
          <w:rFonts w:ascii="Bookman Old Style" w:hAnsi="Bookman Old Style" w:cs="Times New Roman (Corpo CS)"/>
          <w:b/>
          <w:bCs/>
          <w:smallCaps/>
          <w:sz w:val="26"/>
          <w:szCs w:val="26"/>
        </w:rPr>
        <w:t xml:space="preserve"> </w:t>
      </w:r>
      <w:r w:rsidR="004769C4" w:rsidRPr="00C66DB7">
        <w:rPr>
          <w:rFonts w:ascii="Bookman Old Style" w:hAnsi="Bookman Old Style" w:cs="Times New Roman (Corpo CS)"/>
          <w:b/>
          <w:bCs/>
          <w:smallCaps/>
          <w:sz w:val="26"/>
          <w:szCs w:val="26"/>
        </w:rPr>
        <w:t>c.d. mista</w:t>
      </w:r>
      <w:r w:rsidR="008861FA">
        <w:rPr>
          <w:rFonts w:ascii="Bookman Old Style" w:hAnsi="Bookman Old Style" w:cs="Times New Roman (Corpo CS)"/>
          <w:b/>
          <w:bCs/>
          <w:smallCaps/>
          <w:sz w:val="26"/>
          <w:szCs w:val="26"/>
        </w:rPr>
        <w:t xml:space="preserve">, </w:t>
      </w:r>
      <w:r w:rsidR="004769C4" w:rsidRPr="00C66DB7">
        <w:rPr>
          <w:rFonts w:ascii="Bookman Old Style" w:hAnsi="Bookman Old Style" w:cs="Times New Roman (Corpo CS)"/>
          <w:b/>
          <w:bCs/>
          <w:smallCaps/>
          <w:sz w:val="26"/>
          <w:szCs w:val="26"/>
        </w:rPr>
        <w:t>anche dopo la cessazione dello stato di emergenza</w:t>
      </w:r>
    </w:p>
    <w:p w14:paraId="2AFFE674" w14:textId="77777777" w:rsidR="00A306DD" w:rsidRDefault="00A306DD" w:rsidP="0043345D">
      <w:pPr>
        <w:spacing w:line="360" w:lineRule="auto"/>
        <w:jc w:val="both"/>
        <w:rPr>
          <w:rFonts w:ascii="Bookman Old Style" w:hAnsi="Bookman Old Style"/>
          <w:b/>
          <w:bCs/>
          <w:i/>
          <w:iCs/>
          <w:sz w:val="22"/>
          <w:szCs w:val="22"/>
        </w:rPr>
      </w:pPr>
    </w:p>
    <w:p w14:paraId="496571DD" w14:textId="0CC98BAB" w:rsidR="007A2068" w:rsidRPr="00B92CC5" w:rsidRDefault="008E20A4" w:rsidP="0043345D">
      <w:pPr>
        <w:spacing w:line="360" w:lineRule="auto"/>
        <w:jc w:val="both"/>
        <w:rPr>
          <w:rFonts w:ascii="Bookman Old Style" w:hAnsi="Bookman Old Style"/>
          <w:b/>
          <w:bCs/>
          <w:i/>
          <w:iCs/>
          <w:sz w:val="22"/>
          <w:szCs w:val="22"/>
        </w:rPr>
      </w:pPr>
      <w:r w:rsidRPr="00B92CC5">
        <w:rPr>
          <w:rFonts w:ascii="Bookman Old Style" w:hAnsi="Bookman Old Style"/>
          <w:b/>
          <w:bCs/>
          <w:i/>
          <w:iCs/>
          <w:sz w:val="22"/>
          <w:szCs w:val="22"/>
        </w:rPr>
        <w:t>Premessa</w:t>
      </w:r>
    </w:p>
    <w:p w14:paraId="794505F6" w14:textId="71D5294A" w:rsidR="00D82EEC" w:rsidRDefault="00A413C9" w:rsidP="0043345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Sono </w:t>
      </w:r>
      <w:r w:rsidR="00A113F2">
        <w:rPr>
          <w:rFonts w:ascii="Bookman Old Style" w:hAnsi="Bookman Old Style"/>
          <w:sz w:val="22"/>
          <w:szCs w:val="22"/>
        </w:rPr>
        <w:t xml:space="preserve">pervenuti ad Anci, numerosi quesiti in merito </w:t>
      </w:r>
      <w:r w:rsidR="00D82EEC">
        <w:rPr>
          <w:rFonts w:ascii="Bookman Old Style" w:hAnsi="Bookman Old Style"/>
          <w:sz w:val="22"/>
          <w:szCs w:val="22"/>
        </w:rPr>
        <w:t>alla possibilità, per gli enti locali, di poter continuare a</w:t>
      </w:r>
      <w:r w:rsidR="009D1FA0">
        <w:rPr>
          <w:rFonts w:ascii="Bookman Old Style" w:hAnsi="Bookman Old Style"/>
          <w:sz w:val="22"/>
          <w:szCs w:val="22"/>
        </w:rPr>
        <w:t xml:space="preserve"> </w:t>
      </w:r>
      <w:r w:rsidR="00D82EEC">
        <w:rPr>
          <w:rFonts w:ascii="Bookman Old Style" w:hAnsi="Bookman Old Style"/>
          <w:sz w:val="22"/>
          <w:szCs w:val="22"/>
        </w:rPr>
        <w:t>svolgere le sedute dei propri organi</w:t>
      </w:r>
      <w:r w:rsidR="00B92CC5">
        <w:rPr>
          <w:rFonts w:ascii="Bookman Old Style" w:hAnsi="Bookman Old Style"/>
          <w:sz w:val="22"/>
          <w:szCs w:val="22"/>
        </w:rPr>
        <w:t xml:space="preserve"> da remoto o</w:t>
      </w:r>
      <w:r w:rsidR="00D82EEC">
        <w:rPr>
          <w:rFonts w:ascii="Bookman Old Style" w:hAnsi="Bookman Old Style"/>
          <w:sz w:val="22"/>
          <w:szCs w:val="22"/>
        </w:rPr>
        <w:t xml:space="preserve"> in modalità mista (</w:t>
      </w:r>
      <w:r w:rsidR="008A1013">
        <w:rPr>
          <w:rFonts w:ascii="Bookman Old Style" w:hAnsi="Bookman Old Style"/>
          <w:sz w:val="22"/>
          <w:szCs w:val="22"/>
        </w:rPr>
        <w:t xml:space="preserve"> in parte</w:t>
      </w:r>
      <w:r w:rsidR="00D82EEC">
        <w:rPr>
          <w:rFonts w:ascii="Bookman Old Style" w:hAnsi="Bookman Old Style"/>
          <w:sz w:val="22"/>
          <w:szCs w:val="22"/>
        </w:rPr>
        <w:t xml:space="preserve"> da remoto e </w:t>
      </w:r>
      <w:r w:rsidR="00F55BD2">
        <w:rPr>
          <w:rFonts w:ascii="Bookman Old Style" w:hAnsi="Bookman Old Style"/>
          <w:sz w:val="22"/>
          <w:szCs w:val="22"/>
        </w:rPr>
        <w:t xml:space="preserve">in parte </w:t>
      </w:r>
      <w:r w:rsidR="00D82EEC">
        <w:rPr>
          <w:rFonts w:ascii="Bookman Old Style" w:hAnsi="Bookman Old Style"/>
          <w:sz w:val="22"/>
          <w:szCs w:val="22"/>
        </w:rPr>
        <w:t>in presenza) anche successivamente alla cessazione dello stato di emergenza (</w:t>
      </w:r>
      <w:r w:rsidR="007534B0">
        <w:rPr>
          <w:rFonts w:ascii="Bookman Old Style" w:hAnsi="Bookman Old Style"/>
          <w:sz w:val="22"/>
          <w:szCs w:val="22"/>
        </w:rPr>
        <w:t>3</w:t>
      </w:r>
      <w:r w:rsidR="00D82EEC">
        <w:rPr>
          <w:rFonts w:ascii="Bookman Old Style" w:hAnsi="Bookman Old Style"/>
          <w:sz w:val="22"/>
          <w:szCs w:val="22"/>
        </w:rPr>
        <w:t xml:space="preserve">1 marzo u.s.). </w:t>
      </w:r>
    </w:p>
    <w:p w14:paraId="44459037" w14:textId="7E5357B4" w:rsidR="005E16F4" w:rsidRDefault="004769C4" w:rsidP="0043345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Al fine di </w:t>
      </w:r>
      <w:r w:rsidR="00D82EEC">
        <w:rPr>
          <w:rFonts w:ascii="Bookman Old Style" w:hAnsi="Bookman Old Style"/>
          <w:sz w:val="22"/>
          <w:szCs w:val="22"/>
        </w:rPr>
        <w:t xml:space="preserve">fornire linee d’indirizzo operative e </w:t>
      </w:r>
      <w:r w:rsidR="00901195">
        <w:rPr>
          <w:rFonts w:ascii="Bookman Old Style" w:hAnsi="Bookman Old Style"/>
          <w:sz w:val="22"/>
          <w:szCs w:val="22"/>
        </w:rPr>
        <w:t xml:space="preserve">fugare possibili </w:t>
      </w:r>
      <w:r>
        <w:rPr>
          <w:rFonts w:ascii="Bookman Old Style" w:hAnsi="Bookman Old Style"/>
          <w:sz w:val="22"/>
          <w:szCs w:val="22"/>
        </w:rPr>
        <w:t>dubbi interpretati</w:t>
      </w:r>
      <w:r w:rsidR="00AA0F31">
        <w:rPr>
          <w:rFonts w:ascii="Bookman Old Style" w:hAnsi="Bookman Old Style"/>
          <w:sz w:val="22"/>
          <w:szCs w:val="22"/>
        </w:rPr>
        <w:t>v</w:t>
      </w:r>
      <w:r w:rsidR="000D7BFD">
        <w:rPr>
          <w:rFonts w:ascii="Bookman Old Style" w:hAnsi="Bookman Old Style"/>
          <w:sz w:val="22"/>
          <w:szCs w:val="22"/>
        </w:rPr>
        <w:t>i</w:t>
      </w:r>
      <w:r w:rsidR="00AA0F31">
        <w:rPr>
          <w:rFonts w:ascii="Bookman Old Style" w:hAnsi="Bookman Old Style"/>
          <w:sz w:val="22"/>
          <w:szCs w:val="22"/>
        </w:rPr>
        <w:t>,</w:t>
      </w:r>
      <w:r w:rsidR="001A748E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si espone quanto segue.</w:t>
      </w:r>
    </w:p>
    <w:p w14:paraId="65AECB7C" w14:textId="55DAB753" w:rsidR="004769C4" w:rsidRPr="001A748E" w:rsidRDefault="004769C4" w:rsidP="0043345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bCs/>
          <w:i/>
          <w:iCs/>
          <w:sz w:val="22"/>
          <w:szCs w:val="22"/>
        </w:rPr>
      </w:pPr>
      <w:r w:rsidRPr="001A748E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Potestà regolamentare </w:t>
      </w:r>
      <w:r w:rsidR="006F7A89">
        <w:rPr>
          <w:rFonts w:ascii="Bookman Old Style" w:hAnsi="Bookman Old Style"/>
          <w:b/>
          <w:bCs/>
          <w:i/>
          <w:iCs/>
          <w:sz w:val="22"/>
          <w:szCs w:val="22"/>
        </w:rPr>
        <w:t>in materia di organizzazione e funzionamento degli organi collegiali</w:t>
      </w:r>
    </w:p>
    <w:p w14:paraId="42CC9C8C" w14:textId="1867A69C" w:rsidR="005E16F4" w:rsidRDefault="005E16F4" w:rsidP="0043345D">
      <w:pPr>
        <w:spacing w:line="360" w:lineRule="auto"/>
        <w:jc w:val="both"/>
        <w:rPr>
          <w:rFonts w:ascii="Bookman Old Style" w:hAnsi="Bookman Old Style"/>
          <w:iCs/>
          <w:sz w:val="22"/>
          <w:szCs w:val="22"/>
          <w:shd w:val="clear" w:color="auto" w:fill="FFFFFF"/>
        </w:rPr>
      </w:pPr>
      <w:r>
        <w:rPr>
          <w:rFonts w:ascii="Bookman Old Style" w:hAnsi="Bookman Old Style"/>
          <w:sz w:val="22"/>
          <w:szCs w:val="22"/>
        </w:rPr>
        <w:t xml:space="preserve">Secondo quanto disposto dagli articoli 6, 7 e 38 del TUEL, </w:t>
      </w:r>
      <w:r w:rsidR="00B6657B">
        <w:rPr>
          <w:rFonts w:ascii="Bookman Old Style" w:hAnsi="Bookman Old Style"/>
          <w:sz w:val="22"/>
          <w:szCs w:val="22"/>
        </w:rPr>
        <w:t xml:space="preserve">gli enti locali </w:t>
      </w:r>
      <w:r>
        <w:rPr>
          <w:rFonts w:ascii="Bookman Old Style" w:hAnsi="Bookman Old Style"/>
          <w:sz w:val="22"/>
          <w:szCs w:val="22"/>
        </w:rPr>
        <w:t>hanno la potestà regolamentare di</w:t>
      </w:r>
      <w:r w:rsidR="00070A32">
        <w:rPr>
          <w:rFonts w:ascii="Bookman Old Style" w:hAnsi="Bookman Old Style"/>
          <w:sz w:val="22"/>
          <w:szCs w:val="22"/>
        </w:rPr>
        <w:t xml:space="preserve"> disciplinare il funzionamento delle sedute delle giunte</w:t>
      </w:r>
      <w:r w:rsidR="00C27C57">
        <w:rPr>
          <w:rFonts w:ascii="Bookman Old Style" w:hAnsi="Bookman Old Style"/>
          <w:sz w:val="22"/>
          <w:szCs w:val="22"/>
        </w:rPr>
        <w:t xml:space="preserve"> comunali e</w:t>
      </w:r>
      <w:r w:rsidR="00070A32">
        <w:rPr>
          <w:rFonts w:ascii="Bookman Old Style" w:hAnsi="Bookman Old Style"/>
          <w:sz w:val="22"/>
          <w:szCs w:val="22"/>
        </w:rPr>
        <w:t xml:space="preserve"> dei consigli</w:t>
      </w:r>
      <w:r w:rsidR="00C27C57">
        <w:rPr>
          <w:rFonts w:ascii="Bookman Old Style" w:hAnsi="Bookman Old Style"/>
          <w:sz w:val="22"/>
          <w:szCs w:val="22"/>
        </w:rPr>
        <w:t xml:space="preserve"> comunali</w:t>
      </w:r>
      <w:r w:rsidR="00B6657B">
        <w:rPr>
          <w:rFonts w:ascii="Bookman Old Style" w:hAnsi="Bookman Old Style"/>
          <w:sz w:val="22"/>
          <w:szCs w:val="22"/>
        </w:rPr>
        <w:t xml:space="preserve"> </w:t>
      </w:r>
      <w:r w:rsidR="00C27C57">
        <w:rPr>
          <w:rFonts w:ascii="Bookman Old Style" w:hAnsi="Bookman Old Style"/>
          <w:sz w:val="22"/>
          <w:szCs w:val="22"/>
        </w:rPr>
        <w:t>e metropolitani</w:t>
      </w:r>
      <w:r w:rsidR="00A2285B">
        <w:rPr>
          <w:rFonts w:ascii="Bookman Old Style" w:hAnsi="Bookman Old Style"/>
          <w:iCs/>
          <w:sz w:val="22"/>
          <w:szCs w:val="22"/>
          <w:shd w:val="clear" w:color="auto" w:fill="FFFFFF"/>
        </w:rPr>
        <w:t>.</w:t>
      </w:r>
    </w:p>
    <w:p w14:paraId="742C6CD6" w14:textId="5597DF0C" w:rsidR="00C27C57" w:rsidRPr="00D066F4" w:rsidRDefault="00C27C57" w:rsidP="0043345D">
      <w:pPr>
        <w:spacing w:after="120" w:line="360" w:lineRule="auto"/>
        <w:jc w:val="both"/>
        <w:rPr>
          <w:rStyle w:val="Enfasicorsivo"/>
          <w:rFonts w:ascii="Bookman Old Style" w:hAnsi="Bookman Old Style"/>
          <w:i w:val="0"/>
          <w:iCs w:val="0"/>
          <w:sz w:val="22"/>
          <w:szCs w:val="22"/>
        </w:rPr>
      </w:pPr>
      <w:r w:rsidRPr="00171FB0">
        <w:rPr>
          <w:rFonts w:ascii="Bookman Old Style" w:hAnsi="Bookman Old Style"/>
          <w:sz w:val="22"/>
          <w:szCs w:val="22"/>
        </w:rPr>
        <w:t xml:space="preserve">In particolare, </w:t>
      </w:r>
      <w:r w:rsidRPr="00B6657B">
        <w:rPr>
          <w:rFonts w:ascii="Bookman Old Style" w:hAnsi="Bookman Old Style"/>
          <w:b/>
          <w:bCs/>
          <w:sz w:val="22"/>
          <w:szCs w:val="22"/>
        </w:rPr>
        <w:t>l’articolo 6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B6657B">
        <w:rPr>
          <w:rFonts w:ascii="Bookman Old Style" w:hAnsi="Bookman Old Style"/>
          <w:sz w:val="22"/>
          <w:szCs w:val="22"/>
        </w:rPr>
        <w:t xml:space="preserve">del Tuel </w:t>
      </w:r>
      <w:r w:rsidR="00B93DF5">
        <w:rPr>
          <w:rFonts w:ascii="Bookman Old Style" w:hAnsi="Bookman Old Style"/>
          <w:sz w:val="22"/>
          <w:szCs w:val="22"/>
        </w:rPr>
        <w:t>statuisce</w:t>
      </w:r>
      <w:r>
        <w:rPr>
          <w:rFonts w:ascii="Bookman Old Style" w:hAnsi="Bookman Old Style"/>
          <w:sz w:val="22"/>
          <w:szCs w:val="22"/>
        </w:rPr>
        <w:t xml:space="preserve"> che “</w:t>
      </w:r>
      <w:r w:rsidRPr="00B93DF5">
        <w:rPr>
          <w:rFonts w:ascii="Bookman Old Style" w:hAnsi="Bookman Old Style"/>
          <w:i/>
          <w:iCs/>
          <w:sz w:val="22"/>
          <w:szCs w:val="22"/>
        </w:rPr>
        <w:t>Lo statuto stabilisce le norme fondamentali dell'organizzazione dell</w:t>
      </w:r>
      <w:r w:rsidR="00B93DF5" w:rsidRPr="00B93DF5">
        <w:rPr>
          <w:rFonts w:ascii="Bookman Old Style" w:hAnsi="Bookman Old Style"/>
          <w:i/>
          <w:iCs/>
          <w:sz w:val="22"/>
          <w:szCs w:val="22"/>
        </w:rPr>
        <w:t>’</w:t>
      </w:r>
      <w:r w:rsidRPr="00B93DF5">
        <w:rPr>
          <w:rFonts w:ascii="Bookman Old Style" w:hAnsi="Bookman Old Style"/>
          <w:i/>
          <w:iCs/>
          <w:sz w:val="22"/>
          <w:szCs w:val="22"/>
        </w:rPr>
        <w:t>ente</w:t>
      </w:r>
      <w:r w:rsidR="00B93DF5" w:rsidRPr="00B93DF5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00B93DF5" w:rsidRPr="00B93DF5">
        <w:rPr>
          <w:rStyle w:val="Enfasicorsivo"/>
          <w:rFonts w:ascii="Bookman Old Style" w:hAnsi="Bookman Old Style"/>
          <w:i w:val="0"/>
          <w:iCs w:val="0"/>
          <w:sz w:val="22"/>
          <w:szCs w:val="22"/>
        </w:rPr>
        <w:t xml:space="preserve">(…) </w:t>
      </w:r>
      <w:r w:rsidR="00B93DF5" w:rsidRPr="00B93DF5">
        <w:rPr>
          <w:rFonts w:ascii="Bookman Old Style" w:hAnsi="Bookman Old Style"/>
          <w:i/>
          <w:iCs/>
          <w:sz w:val="22"/>
          <w:szCs w:val="22"/>
        </w:rPr>
        <w:t>e i criteri generali in materia di organizzazione dell'ente</w:t>
      </w:r>
      <w:r w:rsidR="00B93DF5">
        <w:rPr>
          <w:rFonts w:ascii="Bookman Old Style" w:hAnsi="Bookman Old Style"/>
          <w:sz w:val="22"/>
          <w:szCs w:val="22"/>
        </w:rPr>
        <w:t xml:space="preserve">”; </w:t>
      </w:r>
      <w:r w:rsidRPr="00171FB0">
        <w:rPr>
          <w:rFonts w:ascii="Bookman Old Style" w:hAnsi="Bookman Old Style"/>
          <w:sz w:val="22"/>
          <w:szCs w:val="22"/>
        </w:rPr>
        <w:t xml:space="preserve">l’articolo 7 stabilisce che </w:t>
      </w:r>
      <w:r w:rsidRPr="00171FB0">
        <w:rPr>
          <w:rFonts w:ascii="Bookman Old Style" w:hAnsi="Bookman Old Style"/>
          <w:i/>
          <w:iCs/>
          <w:sz w:val="22"/>
          <w:szCs w:val="22"/>
        </w:rPr>
        <w:t>“il comune e la provincia adottano regolamenti nelle materie di propria competenza ed in particolare (…) per il funzionamento degli organi …”</w:t>
      </w:r>
      <w:r w:rsidR="00B93DF5">
        <w:rPr>
          <w:rFonts w:ascii="Bookman Old Style" w:hAnsi="Bookman Old Style"/>
          <w:i/>
          <w:iCs/>
          <w:sz w:val="22"/>
          <w:szCs w:val="22"/>
        </w:rPr>
        <w:t>;</w:t>
      </w:r>
      <w:r w:rsidRPr="00171FB0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00B93DF5" w:rsidRPr="00B6657B">
        <w:rPr>
          <w:rFonts w:ascii="Bookman Old Style" w:hAnsi="Bookman Old Style"/>
          <w:b/>
          <w:bCs/>
          <w:sz w:val="22"/>
          <w:szCs w:val="22"/>
        </w:rPr>
        <w:t>l</w:t>
      </w:r>
      <w:r w:rsidRPr="00B6657B">
        <w:rPr>
          <w:rFonts w:ascii="Bookman Old Style" w:hAnsi="Bookman Old Style"/>
          <w:b/>
          <w:bCs/>
          <w:sz w:val="22"/>
          <w:szCs w:val="22"/>
        </w:rPr>
        <w:t>’art. 38</w:t>
      </w:r>
      <w:r w:rsidR="00361BA3">
        <w:rPr>
          <w:rFonts w:ascii="Bookman Old Style" w:hAnsi="Bookman Old Style"/>
          <w:b/>
          <w:bCs/>
          <w:sz w:val="22"/>
          <w:szCs w:val="22"/>
        </w:rPr>
        <w:t xml:space="preserve"> del TUEL</w:t>
      </w:r>
      <w:r w:rsidRPr="00B6657B">
        <w:rPr>
          <w:rFonts w:ascii="Bookman Old Style" w:hAnsi="Bookman Old Style"/>
          <w:b/>
          <w:bCs/>
          <w:sz w:val="22"/>
          <w:szCs w:val="22"/>
        </w:rPr>
        <w:t>, al comma 2</w:t>
      </w:r>
      <w:r w:rsidRPr="00171FB0">
        <w:rPr>
          <w:rFonts w:ascii="Bookman Old Style" w:hAnsi="Bookman Old Style"/>
          <w:sz w:val="22"/>
          <w:szCs w:val="22"/>
        </w:rPr>
        <w:t xml:space="preserve">, sancisce che: </w:t>
      </w:r>
      <w:r w:rsidRPr="00171FB0">
        <w:rPr>
          <w:rStyle w:val="Enfasicorsivo"/>
          <w:rFonts w:ascii="Bookman Old Style" w:hAnsi="Bookman Old Style"/>
          <w:sz w:val="22"/>
          <w:szCs w:val="22"/>
        </w:rPr>
        <w:t xml:space="preserve">«Il funzionamento dei consigli, nel quadro dei princìpi stabiliti dallo statuto, è disciplinato dal regolamento, approvato a maggioranza assoluta, che prevede, in particolare, le modalità per la convocazione e per la presentazione e la discussione delle proposte. (…)” </w:t>
      </w:r>
      <w:r w:rsidRPr="00361BA3">
        <w:rPr>
          <w:rStyle w:val="Enfasicorsivo"/>
          <w:rFonts w:ascii="Bookman Old Style" w:hAnsi="Bookman Old Style"/>
          <w:b/>
          <w:bCs/>
          <w:i w:val="0"/>
          <w:iCs w:val="0"/>
          <w:sz w:val="22"/>
          <w:szCs w:val="22"/>
        </w:rPr>
        <w:t>e al comma 3</w:t>
      </w:r>
      <w:r>
        <w:rPr>
          <w:rStyle w:val="Enfasicorsivo"/>
          <w:rFonts w:ascii="Bookman Old Style" w:hAnsi="Bookman Old Style"/>
          <w:sz w:val="22"/>
          <w:szCs w:val="22"/>
        </w:rPr>
        <w:t xml:space="preserve"> </w:t>
      </w:r>
      <w:r w:rsidRPr="00D066F4">
        <w:rPr>
          <w:rFonts w:ascii="Bookman Old Style" w:hAnsi="Bookman Old Style"/>
          <w:sz w:val="22"/>
          <w:szCs w:val="22"/>
        </w:rPr>
        <w:t xml:space="preserve">che </w:t>
      </w:r>
      <w:r>
        <w:rPr>
          <w:rFonts w:ascii="Bookman Old Style" w:hAnsi="Bookman Old Style"/>
          <w:sz w:val="22"/>
          <w:szCs w:val="22"/>
        </w:rPr>
        <w:t>“</w:t>
      </w:r>
      <w:r w:rsidRPr="00D066F4">
        <w:rPr>
          <w:rFonts w:ascii="Bookman Old Style" w:hAnsi="Bookman Old Style"/>
          <w:i/>
          <w:iCs/>
          <w:sz w:val="22"/>
          <w:szCs w:val="22"/>
        </w:rPr>
        <w:t>I consigli sono dotati di autonomia funzionale ed organizzativa</w:t>
      </w:r>
      <w:r w:rsidRPr="00D066F4">
        <w:rPr>
          <w:rFonts w:ascii="Bookman Old Style" w:hAnsi="Bookman Old Style"/>
          <w:sz w:val="22"/>
          <w:szCs w:val="22"/>
        </w:rPr>
        <w:t xml:space="preserve"> </w:t>
      </w:r>
      <w:r w:rsidRPr="00171FB0">
        <w:rPr>
          <w:rStyle w:val="Enfasicorsivo"/>
          <w:rFonts w:ascii="Bookman Old Style" w:hAnsi="Bookman Old Style"/>
          <w:sz w:val="22"/>
          <w:szCs w:val="22"/>
        </w:rPr>
        <w:t>(…)”</w:t>
      </w:r>
      <w:r>
        <w:rPr>
          <w:rStyle w:val="Enfasicorsivo"/>
          <w:rFonts w:ascii="Bookman Old Style" w:hAnsi="Bookman Old Style"/>
          <w:sz w:val="22"/>
          <w:szCs w:val="22"/>
        </w:rPr>
        <w:t>.</w:t>
      </w:r>
    </w:p>
    <w:p w14:paraId="07B6356E" w14:textId="26D51937" w:rsidR="00C27C57" w:rsidRDefault="00C649F1" w:rsidP="0043345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 xml:space="preserve">Alla luce di tale potestà regolamentare, dunque, </w:t>
      </w:r>
      <w:r w:rsidR="000A6074">
        <w:rPr>
          <w:rFonts w:ascii="Bookman Old Style" w:hAnsi="Bookman Old Style"/>
          <w:sz w:val="22"/>
          <w:szCs w:val="22"/>
        </w:rPr>
        <w:t xml:space="preserve">va evidenziato che </w:t>
      </w:r>
      <w:r w:rsidRPr="00171FB0">
        <w:rPr>
          <w:rFonts w:ascii="Bookman Old Style" w:hAnsi="Bookman Old Style"/>
          <w:sz w:val="22"/>
          <w:szCs w:val="22"/>
        </w:rPr>
        <w:t xml:space="preserve">alcune amministrazioni locali </w:t>
      </w:r>
      <w:r>
        <w:rPr>
          <w:rFonts w:ascii="Bookman Old Style" w:hAnsi="Bookman Old Style"/>
          <w:sz w:val="22"/>
          <w:szCs w:val="22"/>
        </w:rPr>
        <w:t>hanno</w:t>
      </w:r>
      <w:r w:rsidRPr="00171FB0">
        <w:rPr>
          <w:rFonts w:ascii="Bookman Old Style" w:hAnsi="Bookman Old Style"/>
          <w:sz w:val="22"/>
          <w:szCs w:val="22"/>
        </w:rPr>
        <w:t xml:space="preserve"> adottato</w:t>
      </w:r>
      <w:r>
        <w:rPr>
          <w:rFonts w:ascii="Bookman Old Style" w:hAnsi="Bookman Old Style"/>
          <w:sz w:val="22"/>
          <w:szCs w:val="22"/>
        </w:rPr>
        <w:t xml:space="preserve">, ancor prima dell’entrata in vigore dell’articolo 73 </w:t>
      </w:r>
      <w:r w:rsidR="00361BA3">
        <w:rPr>
          <w:rFonts w:ascii="Bookman Old Style" w:hAnsi="Bookman Old Style"/>
          <w:sz w:val="22"/>
          <w:szCs w:val="22"/>
        </w:rPr>
        <w:t xml:space="preserve">del DL </w:t>
      </w:r>
      <w:r w:rsidR="000A6074">
        <w:rPr>
          <w:rFonts w:ascii="Bookman Old Style" w:hAnsi="Bookman Old Style"/>
          <w:sz w:val="22"/>
          <w:szCs w:val="22"/>
        </w:rPr>
        <w:t xml:space="preserve">n. 18/2020 </w:t>
      </w:r>
      <w:r>
        <w:rPr>
          <w:rFonts w:ascii="Bookman Old Style" w:hAnsi="Bookman Old Style"/>
          <w:sz w:val="22"/>
          <w:szCs w:val="22"/>
        </w:rPr>
        <w:t>di cui si dirà in seguito,</w:t>
      </w:r>
      <w:r w:rsidRPr="00171FB0">
        <w:rPr>
          <w:rFonts w:ascii="Bookman Old Style" w:hAnsi="Bookman Old Style"/>
          <w:sz w:val="22"/>
          <w:szCs w:val="22"/>
        </w:rPr>
        <w:t xml:space="preserve"> norme statutarie o regolamentari </w:t>
      </w:r>
      <w:r>
        <w:rPr>
          <w:rFonts w:ascii="Bookman Old Style" w:hAnsi="Bookman Old Style"/>
          <w:sz w:val="22"/>
          <w:szCs w:val="22"/>
        </w:rPr>
        <w:t>per consentire</w:t>
      </w:r>
      <w:r w:rsidRPr="00171FB0">
        <w:rPr>
          <w:rFonts w:ascii="Bookman Old Style" w:hAnsi="Bookman Old Style"/>
          <w:sz w:val="22"/>
          <w:szCs w:val="22"/>
        </w:rPr>
        <w:t xml:space="preserve"> a tutti o solo ad una parte dei componenti dei propri organi</w:t>
      </w:r>
      <w:r w:rsidR="009478E8">
        <w:rPr>
          <w:rFonts w:ascii="Bookman Old Style" w:hAnsi="Bookman Old Style"/>
          <w:sz w:val="22"/>
          <w:szCs w:val="22"/>
        </w:rPr>
        <w:t>,</w:t>
      </w:r>
      <w:r w:rsidRPr="00171FB0">
        <w:rPr>
          <w:rFonts w:ascii="Bookman Old Style" w:hAnsi="Bookman Old Style"/>
          <w:sz w:val="22"/>
          <w:szCs w:val="22"/>
        </w:rPr>
        <w:t xml:space="preserve"> di partecipare alle </w:t>
      </w:r>
      <w:r>
        <w:rPr>
          <w:rFonts w:ascii="Bookman Old Style" w:hAnsi="Bookman Old Style"/>
          <w:sz w:val="22"/>
          <w:szCs w:val="22"/>
        </w:rPr>
        <w:t>sedute</w:t>
      </w:r>
      <w:r w:rsidRPr="00171FB0">
        <w:rPr>
          <w:rFonts w:ascii="Bookman Old Style" w:hAnsi="Bookman Old Style"/>
          <w:sz w:val="22"/>
          <w:szCs w:val="22"/>
        </w:rPr>
        <w:t xml:space="preserve"> in </w:t>
      </w:r>
      <w:r w:rsidR="00501CF9" w:rsidRPr="00171FB0">
        <w:rPr>
          <w:rFonts w:ascii="Bookman Old Style" w:hAnsi="Bookman Old Style"/>
          <w:sz w:val="22"/>
          <w:szCs w:val="22"/>
        </w:rPr>
        <w:t>modalità telematica</w:t>
      </w:r>
      <w:r w:rsidRPr="00171FB0">
        <w:rPr>
          <w:rFonts w:ascii="Bookman Old Style" w:hAnsi="Bookman Old Style"/>
          <w:sz w:val="22"/>
          <w:szCs w:val="22"/>
        </w:rPr>
        <w:t xml:space="preserve">. </w:t>
      </w:r>
    </w:p>
    <w:p w14:paraId="31FE1737" w14:textId="60B88445" w:rsidR="008227AF" w:rsidRPr="00171FB0" w:rsidRDefault="00863426" w:rsidP="008227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Ciò peraltro è stato possibile anche in </w:t>
      </w:r>
      <w:r w:rsidR="002009B8">
        <w:rPr>
          <w:rFonts w:ascii="Bookman Old Style" w:hAnsi="Bookman Old Style"/>
          <w:sz w:val="22"/>
          <w:szCs w:val="22"/>
        </w:rPr>
        <w:t>base alle</w:t>
      </w:r>
      <w:r w:rsidR="008227AF" w:rsidRPr="00171FB0">
        <w:rPr>
          <w:rFonts w:ascii="Bookman Old Style" w:hAnsi="Bookman Old Style"/>
          <w:sz w:val="22"/>
          <w:szCs w:val="22"/>
        </w:rPr>
        <w:t xml:space="preserve"> disposizioni del Codice dell'amministrazione digitale (CAD) che prevedono che le pubbliche amministrazioni, </w:t>
      </w:r>
      <w:r w:rsidR="002009B8">
        <w:rPr>
          <w:rFonts w:ascii="Bookman Old Style" w:hAnsi="Bookman Old Style"/>
          <w:sz w:val="22"/>
          <w:szCs w:val="22"/>
        </w:rPr>
        <w:t>“</w:t>
      </w:r>
      <w:r w:rsidR="008227AF" w:rsidRPr="002009B8">
        <w:rPr>
          <w:rFonts w:ascii="Bookman Old Style" w:hAnsi="Bookman Old Style"/>
          <w:i/>
          <w:iCs/>
          <w:sz w:val="22"/>
          <w:szCs w:val="22"/>
        </w:rPr>
        <w:t>nell'organizzare autonomamente la propria attività, utilizzano le tecnologie dell'informazione e della comunicazione per la realizzazione degli obiettivi di efficienza, efficacia, economicità, imparzialità, trasparenza, semplificazione e partecipazione. Inoltre, gli enti utilizzano, nei rapporti interni, le tecnologie dell'informazione e della comunicazione</w:t>
      </w:r>
      <w:r w:rsidR="002009B8">
        <w:rPr>
          <w:rFonts w:ascii="Bookman Old Style" w:hAnsi="Bookman Old Style"/>
          <w:sz w:val="22"/>
          <w:szCs w:val="22"/>
        </w:rPr>
        <w:t>”</w:t>
      </w:r>
      <w:r w:rsidR="008227AF" w:rsidRPr="00171FB0">
        <w:rPr>
          <w:rFonts w:ascii="Bookman Old Style" w:hAnsi="Bookman Old Style"/>
          <w:sz w:val="22"/>
          <w:szCs w:val="22"/>
        </w:rPr>
        <w:t>.</w:t>
      </w:r>
    </w:p>
    <w:p w14:paraId="7BCD639B" w14:textId="25D57E7F" w:rsidR="008227AF" w:rsidRDefault="008227AF" w:rsidP="008227AF">
      <w:pPr>
        <w:spacing w:line="360" w:lineRule="auto"/>
        <w:jc w:val="both"/>
        <w:rPr>
          <w:rFonts w:ascii="Bookman Old Style" w:hAnsi="Bookman Old Style"/>
          <w:sz w:val="22"/>
          <w:szCs w:val="22"/>
          <w:shd w:val="clear" w:color="auto" w:fill="FFFFFF"/>
        </w:rPr>
      </w:pPr>
      <w:r w:rsidRPr="00171FB0">
        <w:rPr>
          <w:rFonts w:ascii="Bookman Old Style" w:hAnsi="Bookman Old Style"/>
          <w:sz w:val="22"/>
          <w:szCs w:val="22"/>
          <w:shd w:val="clear" w:color="auto" w:fill="FFFFFF"/>
        </w:rPr>
        <w:t>Le modalità disciplinate dalla normativa emergenziale</w:t>
      </w:r>
      <w:r w:rsidR="00A436C2">
        <w:rPr>
          <w:rFonts w:ascii="Bookman Old Style" w:hAnsi="Bookman Old Style"/>
          <w:sz w:val="22"/>
          <w:szCs w:val="22"/>
          <w:shd w:val="clear" w:color="auto" w:fill="FFFFFF"/>
        </w:rPr>
        <w:t>,</w:t>
      </w:r>
      <w:r w:rsidR="00A436C2" w:rsidRPr="00A436C2">
        <w:rPr>
          <w:rFonts w:ascii="Bookman Old Style" w:hAnsi="Bookman Old Style"/>
          <w:sz w:val="22"/>
          <w:szCs w:val="22"/>
          <w:shd w:val="clear" w:color="auto" w:fill="FFFFFF"/>
        </w:rPr>
        <w:t xml:space="preserve"> </w:t>
      </w:r>
      <w:r w:rsidR="00A436C2">
        <w:rPr>
          <w:rFonts w:ascii="Bookman Old Style" w:hAnsi="Bookman Old Style"/>
          <w:sz w:val="22"/>
          <w:szCs w:val="22"/>
          <w:shd w:val="clear" w:color="auto" w:fill="FFFFFF"/>
        </w:rPr>
        <w:t xml:space="preserve">di svolgimento da remoto </w:t>
      </w:r>
      <w:r w:rsidR="00BF438A">
        <w:rPr>
          <w:rFonts w:ascii="Bookman Old Style" w:hAnsi="Bookman Old Style"/>
          <w:sz w:val="22"/>
          <w:szCs w:val="22"/>
          <w:shd w:val="clear" w:color="auto" w:fill="FFFFFF"/>
        </w:rPr>
        <w:t xml:space="preserve">o in modalità mista </w:t>
      </w:r>
      <w:r w:rsidR="00A436C2">
        <w:rPr>
          <w:rFonts w:ascii="Bookman Old Style" w:hAnsi="Bookman Old Style"/>
          <w:sz w:val="22"/>
          <w:szCs w:val="22"/>
          <w:shd w:val="clear" w:color="auto" w:fill="FFFFFF"/>
        </w:rPr>
        <w:t xml:space="preserve">delle sedute degli organi collegiali, </w:t>
      </w:r>
      <w:r w:rsidRPr="00171FB0">
        <w:rPr>
          <w:rFonts w:ascii="Bookman Old Style" w:hAnsi="Bookman Old Style"/>
          <w:sz w:val="22"/>
          <w:szCs w:val="22"/>
          <w:shd w:val="clear" w:color="auto" w:fill="FFFFFF"/>
        </w:rPr>
        <w:t>quindi, si inseri</w:t>
      </w:r>
      <w:r w:rsidR="002009B8">
        <w:rPr>
          <w:rFonts w:ascii="Bookman Old Style" w:hAnsi="Bookman Old Style"/>
          <w:sz w:val="22"/>
          <w:szCs w:val="22"/>
          <w:shd w:val="clear" w:color="auto" w:fill="FFFFFF"/>
        </w:rPr>
        <w:t>vano a pieno titolo in un</w:t>
      </w:r>
      <w:r w:rsidR="00F349CA">
        <w:rPr>
          <w:rFonts w:ascii="Bookman Old Style" w:hAnsi="Bookman Old Style"/>
          <w:sz w:val="22"/>
          <w:szCs w:val="22"/>
          <w:shd w:val="clear" w:color="auto" w:fill="FFFFFF"/>
        </w:rPr>
        <w:t xml:space="preserve"> percorso di digitalizzazione già avviato dagli enti locali</w:t>
      </w:r>
      <w:r w:rsidR="00BF438A">
        <w:rPr>
          <w:rFonts w:ascii="Bookman Old Style" w:hAnsi="Bookman Old Style"/>
          <w:sz w:val="22"/>
          <w:szCs w:val="22"/>
          <w:shd w:val="clear" w:color="auto" w:fill="FFFFFF"/>
        </w:rPr>
        <w:t xml:space="preserve">, </w:t>
      </w:r>
      <w:r w:rsidR="001803D1">
        <w:rPr>
          <w:rFonts w:ascii="Bookman Old Style" w:hAnsi="Bookman Old Style"/>
          <w:sz w:val="22"/>
          <w:szCs w:val="22"/>
          <w:shd w:val="clear" w:color="auto" w:fill="FFFFFF"/>
        </w:rPr>
        <w:t>limitandosi a confermare tale</w:t>
      </w:r>
      <w:r w:rsidR="00F349CA">
        <w:rPr>
          <w:rFonts w:ascii="Bookman Old Style" w:hAnsi="Bookman Old Style"/>
          <w:sz w:val="22"/>
          <w:szCs w:val="22"/>
          <w:shd w:val="clear" w:color="auto" w:fill="FFFFFF"/>
        </w:rPr>
        <w:t xml:space="preserve"> </w:t>
      </w:r>
      <w:r w:rsidR="00913041">
        <w:rPr>
          <w:rFonts w:ascii="Bookman Old Style" w:hAnsi="Bookman Old Style"/>
          <w:sz w:val="22"/>
          <w:szCs w:val="22"/>
          <w:shd w:val="clear" w:color="auto" w:fill="FFFFFF"/>
        </w:rPr>
        <w:t>facoltà</w:t>
      </w:r>
      <w:r w:rsidR="001803D1">
        <w:rPr>
          <w:rFonts w:ascii="Bookman Old Style" w:hAnsi="Bookman Old Style"/>
          <w:sz w:val="22"/>
          <w:szCs w:val="22"/>
          <w:shd w:val="clear" w:color="auto" w:fill="FFFFFF"/>
        </w:rPr>
        <w:t xml:space="preserve"> e </w:t>
      </w:r>
      <w:r w:rsidR="00913041">
        <w:rPr>
          <w:rFonts w:ascii="Bookman Old Style" w:hAnsi="Bookman Old Style"/>
          <w:sz w:val="22"/>
          <w:szCs w:val="22"/>
          <w:shd w:val="clear" w:color="auto" w:fill="FFFFFF"/>
        </w:rPr>
        <w:t xml:space="preserve"> consentendo, in via eccezionale, come si dirà </w:t>
      </w:r>
      <w:r w:rsidR="00C67E43">
        <w:rPr>
          <w:rFonts w:ascii="Bookman Old Style" w:hAnsi="Bookman Old Style"/>
          <w:sz w:val="22"/>
          <w:szCs w:val="22"/>
          <w:shd w:val="clear" w:color="auto" w:fill="FFFFFF"/>
        </w:rPr>
        <w:t>nel successivo paragrafo</w:t>
      </w:r>
      <w:r w:rsidR="00913041">
        <w:rPr>
          <w:rFonts w:ascii="Bookman Old Style" w:hAnsi="Bookman Old Style"/>
          <w:sz w:val="22"/>
          <w:szCs w:val="22"/>
          <w:shd w:val="clear" w:color="auto" w:fill="FFFFFF"/>
        </w:rPr>
        <w:t xml:space="preserve">, di poter procedere </w:t>
      </w:r>
      <w:r w:rsidR="00321B69">
        <w:rPr>
          <w:rFonts w:ascii="Bookman Old Style" w:hAnsi="Bookman Old Style"/>
          <w:sz w:val="22"/>
          <w:szCs w:val="22"/>
          <w:shd w:val="clear" w:color="auto" w:fill="FFFFFF"/>
        </w:rPr>
        <w:t xml:space="preserve">con tali modalità </w:t>
      </w:r>
      <w:r w:rsidR="00F43FED">
        <w:rPr>
          <w:rFonts w:ascii="Bookman Old Style" w:hAnsi="Bookman Old Style"/>
          <w:sz w:val="22"/>
          <w:szCs w:val="22"/>
          <w:shd w:val="clear" w:color="auto" w:fill="FFFFFF"/>
        </w:rPr>
        <w:t>“</w:t>
      </w:r>
      <w:r w:rsidR="00321B69" w:rsidRPr="00F43FED">
        <w:rPr>
          <w:rFonts w:ascii="Bookman Old Style" w:hAnsi="Bookman Old Style"/>
          <w:b/>
          <w:bCs/>
          <w:i/>
          <w:iCs/>
          <w:sz w:val="22"/>
          <w:szCs w:val="22"/>
          <w:u w:val="single"/>
          <w:shd w:val="clear" w:color="auto" w:fill="FFFFFF"/>
        </w:rPr>
        <w:t>anche in assenza di apposito regolamento</w:t>
      </w:r>
      <w:r w:rsidR="00F43FED" w:rsidRPr="00F43FED">
        <w:rPr>
          <w:rFonts w:ascii="Bookman Old Style" w:hAnsi="Bookman Old Style"/>
          <w:sz w:val="22"/>
          <w:szCs w:val="22"/>
          <w:u w:val="single"/>
          <w:shd w:val="clear" w:color="auto" w:fill="FFFFFF"/>
        </w:rPr>
        <w:t>”</w:t>
      </w:r>
      <w:r w:rsidR="00321B69" w:rsidRPr="00F43FED">
        <w:rPr>
          <w:rFonts w:ascii="Bookman Old Style" w:hAnsi="Bookman Old Style"/>
          <w:sz w:val="22"/>
          <w:szCs w:val="22"/>
          <w:u w:val="single"/>
          <w:shd w:val="clear" w:color="auto" w:fill="FFFFFF"/>
        </w:rPr>
        <w:t>.</w:t>
      </w:r>
      <w:r w:rsidR="00321B69">
        <w:rPr>
          <w:rFonts w:ascii="Bookman Old Style" w:hAnsi="Bookman Old Style"/>
          <w:sz w:val="22"/>
          <w:szCs w:val="22"/>
          <w:shd w:val="clear" w:color="auto" w:fill="FFFFFF"/>
        </w:rPr>
        <w:t xml:space="preserve"> </w:t>
      </w:r>
    </w:p>
    <w:p w14:paraId="25F51B2C" w14:textId="77777777" w:rsidR="009C58F2" w:rsidRPr="00004872" w:rsidRDefault="009C58F2" w:rsidP="008227AF">
      <w:pPr>
        <w:spacing w:line="360" w:lineRule="auto"/>
        <w:jc w:val="both"/>
        <w:rPr>
          <w:rFonts w:ascii="Bookman Old Style" w:hAnsi="Bookman Old Style"/>
          <w:sz w:val="22"/>
          <w:szCs w:val="22"/>
          <w:shd w:val="clear" w:color="auto" w:fill="FFFFFF"/>
        </w:rPr>
      </w:pPr>
    </w:p>
    <w:p w14:paraId="35BEF567" w14:textId="325E862F" w:rsidR="00501CF9" w:rsidRPr="002D4B11" w:rsidRDefault="00501CF9" w:rsidP="0043345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bCs/>
          <w:i/>
          <w:iCs/>
          <w:sz w:val="22"/>
          <w:szCs w:val="22"/>
        </w:rPr>
      </w:pPr>
      <w:r w:rsidRPr="002D4B11">
        <w:rPr>
          <w:rFonts w:ascii="Bookman Old Style" w:hAnsi="Bookman Old Style"/>
          <w:b/>
          <w:bCs/>
          <w:i/>
          <w:iCs/>
          <w:sz w:val="22"/>
          <w:szCs w:val="22"/>
        </w:rPr>
        <w:t>L’articolo 73 del dl n. 18/2020 e la disciplina emergenziale</w:t>
      </w:r>
    </w:p>
    <w:p w14:paraId="7EF5D922" w14:textId="42923C46" w:rsidR="00501CF9" w:rsidRPr="00C439BC" w:rsidRDefault="00C439BC" w:rsidP="0043345D">
      <w:pPr>
        <w:pStyle w:val="NormaleWeb"/>
        <w:spacing w:before="0" w:beforeAutospacing="0" w:after="120" w:afterAutospacing="0" w:line="360" w:lineRule="auto"/>
        <w:jc w:val="both"/>
        <w:rPr>
          <w:rFonts w:ascii="Bookman Old Style" w:hAnsi="Bookman Old Style"/>
          <w:i/>
          <w:i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Come accennato, </w:t>
      </w:r>
      <w:r w:rsidR="009C58F2">
        <w:rPr>
          <w:rFonts w:ascii="Bookman Old Style" w:hAnsi="Bookman Old Style"/>
          <w:sz w:val="22"/>
          <w:szCs w:val="22"/>
        </w:rPr>
        <w:t xml:space="preserve">in piena fase emergenziale, </w:t>
      </w:r>
      <w:r>
        <w:rPr>
          <w:rFonts w:ascii="Bookman Old Style" w:hAnsi="Bookman Old Style"/>
          <w:sz w:val="22"/>
          <w:szCs w:val="22"/>
        </w:rPr>
        <w:t>l</w:t>
      </w:r>
      <w:r w:rsidR="00501CF9" w:rsidRPr="00171FB0">
        <w:rPr>
          <w:rFonts w:ascii="Bookman Old Style" w:hAnsi="Bookman Old Style"/>
          <w:sz w:val="22"/>
          <w:szCs w:val="22"/>
        </w:rPr>
        <w:t xml:space="preserve">’articolo 73 del </w:t>
      </w:r>
      <w:r w:rsidR="0043345D" w:rsidRPr="00171FB0">
        <w:rPr>
          <w:rFonts w:ascii="Bookman Old Style" w:hAnsi="Bookman Old Style"/>
          <w:sz w:val="22"/>
          <w:szCs w:val="22"/>
        </w:rPr>
        <w:t>decreto-legge</w:t>
      </w:r>
      <w:r w:rsidR="00501CF9" w:rsidRPr="00171FB0">
        <w:rPr>
          <w:rFonts w:ascii="Bookman Old Style" w:hAnsi="Bookman Old Style"/>
          <w:sz w:val="22"/>
          <w:szCs w:val="22"/>
        </w:rPr>
        <w:t xml:space="preserve"> 17 marzo 2020, n. 18, convertito con modificazioni dalla L. 24 aprile 2020, n. 27 (c.d. Cura Italia), stabili</w:t>
      </w:r>
      <w:r w:rsidR="002D4B11">
        <w:rPr>
          <w:rFonts w:ascii="Bookman Old Style" w:hAnsi="Bookman Old Style"/>
          <w:sz w:val="22"/>
          <w:szCs w:val="22"/>
        </w:rPr>
        <w:t>va</w:t>
      </w:r>
      <w:r w:rsidR="0043345D">
        <w:rPr>
          <w:rFonts w:ascii="Bookman Old Style" w:hAnsi="Bookman Old Style"/>
          <w:sz w:val="22"/>
          <w:szCs w:val="22"/>
        </w:rPr>
        <w:t xml:space="preserve"> </w:t>
      </w:r>
      <w:r w:rsidR="00501CF9" w:rsidRPr="00171FB0">
        <w:rPr>
          <w:rFonts w:ascii="Bookman Old Style" w:hAnsi="Bookman Old Style"/>
          <w:sz w:val="22"/>
          <w:szCs w:val="22"/>
        </w:rPr>
        <w:t>che</w:t>
      </w:r>
      <w:r>
        <w:rPr>
          <w:rFonts w:ascii="Bookman Old Style" w:hAnsi="Bookman Old Style"/>
          <w:sz w:val="22"/>
          <w:szCs w:val="22"/>
        </w:rPr>
        <w:t xml:space="preserve"> “</w:t>
      </w:r>
      <w:r w:rsidR="00501CF9" w:rsidRPr="00C439BC">
        <w:rPr>
          <w:rFonts w:ascii="Bookman Old Style" w:hAnsi="Bookman Old Style"/>
          <w:i/>
          <w:iCs/>
          <w:sz w:val="22"/>
          <w:szCs w:val="22"/>
        </w:rPr>
        <w:t xml:space="preserve">al fine di contrastare e contenere la diffusione del virus COVID-19 e fino alla data di cessazione dello stato di emergenza, i consigli dei comuni, delle province e delle città metropolitane e le giunte comunali, che non </w:t>
      </w:r>
      <w:r w:rsidR="0043345D" w:rsidRPr="00C439BC">
        <w:rPr>
          <w:rFonts w:ascii="Bookman Old Style" w:hAnsi="Bookman Old Style"/>
          <w:i/>
          <w:iCs/>
          <w:sz w:val="22"/>
          <w:szCs w:val="22"/>
        </w:rPr>
        <w:t>hanno</w:t>
      </w:r>
      <w:r w:rsidR="00501CF9" w:rsidRPr="00C439BC">
        <w:rPr>
          <w:rFonts w:ascii="Bookman Old Style" w:hAnsi="Bookman Old Style"/>
          <w:i/>
          <w:iCs/>
          <w:sz w:val="22"/>
          <w:szCs w:val="22"/>
        </w:rPr>
        <w:t xml:space="preserve"> regolamentato modalità di svolgimento delle sedute in videoconferenza, </w:t>
      </w:r>
      <w:r w:rsidR="0043345D" w:rsidRPr="00C439BC">
        <w:rPr>
          <w:rFonts w:ascii="Bookman Old Style" w:hAnsi="Bookman Old Style"/>
          <w:i/>
          <w:iCs/>
          <w:sz w:val="22"/>
          <w:szCs w:val="22"/>
        </w:rPr>
        <w:t>possono</w:t>
      </w:r>
      <w:r w:rsidR="00501CF9" w:rsidRPr="00C439BC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00185A46" w:rsidRPr="00C439BC">
        <w:rPr>
          <w:rFonts w:ascii="Bookman Old Style" w:hAnsi="Bookman Old Style"/>
          <w:i/>
          <w:iCs/>
          <w:sz w:val="22"/>
          <w:szCs w:val="22"/>
        </w:rPr>
        <w:t xml:space="preserve">comunque </w:t>
      </w:r>
      <w:r w:rsidR="00501CF9" w:rsidRPr="00C439BC">
        <w:rPr>
          <w:rFonts w:ascii="Bookman Old Style" w:hAnsi="Bookman Old Style"/>
          <w:i/>
          <w:iCs/>
          <w:sz w:val="22"/>
          <w:szCs w:val="22"/>
        </w:rPr>
        <w:t>riunirsi secondo tali modalità</w:t>
      </w:r>
      <w:r w:rsidRPr="00C439BC">
        <w:rPr>
          <w:rFonts w:ascii="Bookman Old Style" w:hAnsi="Bookman Old Style"/>
          <w:i/>
          <w:iCs/>
          <w:sz w:val="22"/>
          <w:szCs w:val="22"/>
        </w:rPr>
        <w:t>”</w:t>
      </w:r>
      <w:r w:rsidR="00185A46" w:rsidRPr="00C439BC">
        <w:rPr>
          <w:rFonts w:ascii="Bookman Old Style" w:hAnsi="Bookman Old Style"/>
          <w:i/>
          <w:iCs/>
          <w:sz w:val="22"/>
          <w:szCs w:val="22"/>
        </w:rPr>
        <w:t>.</w:t>
      </w:r>
    </w:p>
    <w:p w14:paraId="15BA119F" w14:textId="41235D77" w:rsidR="00A15EBC" w:rsidRDefault="00501CF9" w:rsidP="00A15EB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185A46">
        <w:rPr>
          <w:rFonts w:ascii="Bookman Old Style" w:hAnsi="Bookman Old Style"/>
          <w:sz w:val="22"/>
          <w:szCs w:val="22"/>
        </w:rPr>
        <w:t xml:space="preserve">La </w:t>
      </w:r>
      <w:r w:rsidR="00185A46" w:rsidRPr="00185A46">
        <w:rPr>
          <w:rFonts w:ascii="Bookman Old Style" w:hAnsi="Bookman Old Style"/>
          <w:i/>
          <w:iCs/>
          <w:sz w:val="22"/>
          <w:szCs w:val="22"/>
        </w:rPr>
        <w:t>ratio legis</w:t>
      </w:r>
      <w:r w:rsidRPr="00185A46">
        <w:rPr>
          <w:rFonts w:ascii="Bookman Old Style" w:hAnsi="Bookman Old Style"/>
          <w:sz w:val="22"/>
          <w:szCs w:val="22"/>
        </w:rPr>
        <w:t xml:space="preserve"> del</w:t>
      </w:r>
      <w:r w:rsidR="00185A46">
        <w:rPr>
          <w:rFonts w:ascii="Bookman Old Style" w:hAnsi="Bookman Old Style"/>
          <w:sz w:val="22"/>
          <w:szCs w:val="22"/>
        </w:rPr>
        <w:t>l’</w:t>
      </w:r>
      <w:r w:rsidRPr="00185A46">
        <w:rPr>
          <w:rFonts w:ascii="Bookman Old Style" w:hAnsi="Bookman Old Style"/>
          <w:sz w:val="22"/>
          <w:szCs w:val="22"/>
        </w:rPr>
        <w:t>art</w:t>
      </w:r>
      <w:r w:rsidR="00185A46">
        <w:rPr>
          <w:rFonts w:ascii="Bookman Old Style" w:hAnsi="Bookman Old Style"/>
          <w:sz w:val="22"/>
          <w:szCs w:val="22"/>
        </w:rPr>
        <w:t>icolo</w:t>
      </w:r>
      <w:r w:rsidRPr="00185A46">
        <w:rPr>
          <w:rFonts w:ascii="Bookman Old Style" w:hAnsi="Bookman Old Style"/>
          <w:sz w:val="22"/>
          <w:szCs w:val="22"/>
        </w:rPr>
        <w:t xml:space="preserve"> 7</w:t>
      </w:r>
      <w:r w:rsidR="00185A46">
        <w:rPr>
          <w:rFonts w:ascii="Bookman Old Style" w:hAnsi="Bookman Old Style"/>
          <w:sz w:val="22"/>
          <w:szCs w:val="22"/>
        </w:rPr>
        <w:t xml:space="preserve">3, dunque, </w:t>
      </w:r>
      <w:r w:rsidR="006470B8">
        <w:rPr>
          <w:rFonts w:ascii="Bookman Old Style" w:hAnsi="Bookman Old Style"/>
          <w:sz w:val="22"/>
          <w:szCs w:val="22"/>
        </w:rPr>
        <w:t>era quella</w:t>
      </w:r>
      <w:r w:rsidR="00185A46">
        <w:rPr>
          <w:rFonts w:ascii="Bookman Old Style" w:hAnsi="Bookman Old Style"/>
          <w:sz w:val="22"/>
          <w:szCs w:val="22"/>
        </w:rPr>
        <w:t xml:space="preserve"> di consentire, in fase pandemica</w:t>
      </w:r>
      <w:r w:rsidR="0038271F">
        <w:rPr>
          <w:rFonts w:ascii="Bookman Old Style" w:hAnsi="Bookman Old Style"/>
          <w:sz w:val="22"/>
          <w:szCs w:val="22"/>
        </w:rPr>
        <w:t xml:space="preserve"> e per motivi legati ovviamente alla </w:t>
      </w:r>
      <w:r w:rsidR="006470B8">
        <w:rPr>
          <w:rFonts w:ascii="Bookman Old Style" w:hAnsi="Bookman Old Style"/>
          <w:sz w:val="22"/>
          <w:szCs w:val="22"/>
        </w:rPr>
        <w:t xml:space="preserve">sicurezza e alle </w:t>
      </w:r>
      <w:r w:rsidR="0038271F">
        <w:rPr>
          <w:rFonts w:ascii="Bookman Old Style" w:hAnsi="Bookman Old Style"/>
          <w:sz w:val="22"/>
          <w:szCs w:val="22"/>
        </w:rPr>
        <w:t xml:space="preserve">prevenzione </w:t>
      </w:r>
      <w:r w:rsidR="006470B8">
        <w:rPr>
          <w:rFonts w:ascii="Bookman Old Style" w:hAnsi="Bookman Old Style"/>
          <w:sz w:val="22"/>
          <w:szCs w:val="22"/>
        </w:rPr>
        <w:t xml:space="preserve">sanitaria </w:t>
      </w:r>
      <w:r w:rsidR="006C69A5">
        <w:rPr>
          <w:rFonts w:ascii="Bookman Old Style" w:hAnsi="Bookman Old Style"/>
          <w:sz w:val="22"/>
          <w:szCs w:val="22"/>
        </w:rPr>
        <w:t xml:space="preserve">della diffusione del </w:t>
      </w:r>
      <w:r w:rsidR="00710A0F">
        <w:rPr>
          <w:rFonts w:ascii="Bookman Old Style" w:hAnsi="Bookman Old Style"/>
          <w:sz w:val="22"/>
          <w:szCs w:val="22"/>
        </w:rPr>
        <w:t xml:space="preserve">virus </w:t>
      </w:r>
      <w:r w:rsidR="006C69A5">
        <w:rPr>
          <w:rFonts w:ascii="Bookman Old Style" w:hAnsi="Bookman Old Style"/>
          <w:sz w:val="22"/>
          <w:szCs w:val="22"/>
        </w:rPr>
        <w:t xml:space="preserve">Covid-19, </w:t>
      </w:r>
      <w:r w:rsidR="00185A46">
        <w:rPr>
          <w:rFonts w:ascii="Bookman Old Style" w:hAnsi="Bookman Old Style"/>
          <w:sz w:val="22"/>
          <w:szCs w:val="22"/>
        </w:rPr>
        <w:t xml:space="preserve">anche in assenza di </w:t>
      </w:r>
      <w:r w:rsidR="0043345D">
        <w:rPr>
          <w:rFonts w:ascii="Bookman Old Style" w:hAnsi="Bookman Old Style"/>
          <w:sz w:val="22"/>
          <w:szCs w:val="22"/>
        </w:rPr>
        <w:t xml:space="preserve">una </w:t>
      </w:r>
      <w:r w:rsidR="00185A46">
        <w:rPr>
          <w:rFonts w:ascii="Bookman Old Style" w:hAnsi="Bookman Old Style"/>
          <w:sz w:val="22"/>
          <w:szCs w:val="22"/>
        </w:rPr>
        <w:t xml:space="preserve">specifica previsione </w:t>
      </w:r>
      <w:r w:rsidR="0043345D">
        <w:rPr>
          <w:rFonts w:ascii="Bookman Old Style" w:hAnsi="Bookman Old Style"/>
          <w:sz w:val="22"/>
          <w:szCs w:val="22"/>
        </w:rPr>
        <w:t>regolamentare, la possibilità di svolgere le sedute degli organi collegiali in modalità da remoto o mista.</w:t>
      </w:r>
    </w:p>
    <w:p w14:paraId="64B004A5" w14:textId="226E7DE3" w:rsidR="00185A46" w:rsidRDefault="0043345D" w:rsidP="00A15EB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15EBC">
        <w:rPr>
          <w:rFonts w:ascii="Bookman Old Style" w:hAnsi="Bookman Old Style"/>
          <w:sz w:val="22"/>
          <w:szCs w:val="22"/>
        </w:rPr>
        <w:t>In tal senso, l</w:t>
      </w:r>
      <w:r w:rsidR="00185A46" w:rsidRPr="00A15EBC">
        <w:rPr>
          <w:rFonts w:ascii="Bookman Old Style" w:hAnsi="Bookman Old Style"/>
          <w:sz w:val="22"/>
          <w:szCs w:val="22"/>
        </w:rPr>
        <w:t xml:space="preserve">a relazione illustrativa </w:t>
      </w:r>
      <w:r w:rsidRPr="00A15EBC">
        <w:rPr>
          <w:rFonts w:ascii="Bookman Old Style" w:hAnsi="Bookman Old Style"/>
          <w:sz w:val="22"/>
          <w:szCs w:val="22"/>
        </w:rPr>
        <w:t xml:space="preserve">della norma </w:t>
      </w:r>
      <w:r w:rsidR="00185A46" w:rsidRPr="00A15EBC">
        <w:rPr>
          <w:rFonts w:ascii="Bookman Old Style" w:hAnsi="Bookman Old Style"/>
          <w:sz w:val="22"/>
          <w:szCs w:val="22"/>
        </w:rPr>
        <w:t>precisa</w:t>
      </w:r>
      <w:r w:rsidR="006470B8">
        <w:rPr>
          <w:rFonts w:ascii="Bookman Old Style" w:hAnsi="Bookman Old Style"/>
          <w:sz w:val="22"/>
          <w:szCs w:val="22"/>
        </w:rPr>
        <w:t>va</w:t>
      </w:r>
      <w:r w:rsidR="00185A46" w:rsidRPr="00A15EBC">
        <w:rPr>
          <w:rFonts w:ascii="Bookman Old Style" w:hAnsi="Bookman Old Style"/>
          <w:sz w:val="22"/>
          <w:szCs w:val="22"/>
        </w:rPr>
        <w:t xml:space="preserve"> che le modalità procedimentali introdotte</w:t>
      </w:r>
      <w:r w:rsidRPr="00A15EBC">
        <w:rPr>
          <w:rFonts w:ascii="Bookman Old Style" w:hAnsi="Bookman Old Style"/>
          <w:sz w:val="22"/>
          <w:szCs w:val="22"/>
        </w:rPr>
        <w:t xml:space="preserve"> “</w:t>
      </w:r>
      <w:r w:rsidR="00185A46" w:rsidRPr="00351391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ricalcano </w:t>
      </w:r>
      <w:r w:rsidR="00351391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peraltro </w:t>
      </w:r>
      <w:r w:rsidR="00185A46" w:rsidRPr="00351391">
        <w:rPr>
          <w:rFonts w:ascii="Bookman Old Style" w:hAnsi="Bookman Old Style"/>
          <w:b/>
          <w:bCs/>
          <w:i/>
          <w:iCs/>
          <w:sz w:val="22"/>
          <w:szCs w:val="22"/>
        </w:rPr>
        <w:t>un modello già adottato da numerosi regolamenti comunali</w:t>
      </w:r>
      <w:r w:rsidRPr="00351391">
        <w:rPr>
          <w:rFonts w:ascii="Bookman Old Style" w:hAnsi="Bookman Old Style"/>
          <w:b/>
          <w:bCs/>
          <w:sz w:val="22"/>
          <w:szCs w:val="22"/>
        </w:rPr>
        <w:t>”.</w:t>
      </w:r>
    </w:p>
    <w:p w14:paraId="417F132C" w14:textId="5EB4184F" w:rsidR="00A076F3" w:rsidRDefault="00A15EBC" w:rsidP="00A15EB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L’articolo 73, dunque, </w:t>
      </w:r>
      <w:r w:rsidR="00631D0D">
        <w:rPr>
          <w:rFonts w:ascii="Bookman Old Style" w:hAnsi="Bookman Old Style"/>
          <w:sz w:val="22"/>
          <w:szCs w:val="22"/>
        </w:rPr>
        <w:t xml:space="preserve">introduceva </w:t>
      </w:r>
      <w:r w:rsidR="0007057E">
        <w:rPr>
          <w:rFonts w:ascii="Bookman Old Style" w:hAnsi="Bookman Old Style"/>
          <w:sz w:val="22"/>
          <w:szCs w:val="22"/>
        </w:rPr>
        <w:t xml:space="preserve">una deroga </w:t>
      </w:r>
      <w:r w:rsidR="00631D0D">
        <w:rPr>
          <w:rFonts w:ascii="Bookman Old Style" w:hAnsi="Bookman Old Style"/>
          <w:sz w:val="22"/>
          <w:szCs w:val="22"/>
        </w:rPr>
        <w:t>(</w:t>
      </w:r>
      <w:r w:rsidR="0007057E">
        <w:rPr>
          <w:rFonts w:ascii="Bookman Old Style" w:hAnsi="Bookman Old Style"/>
          <w:sz w:val="22"/>
          <w:szCs w:val="22"/>
        </w:rPr>
        <w:t xml:space="preserve">svolgere le sedute </w:t>
      </w:r>
      <w:r w:rsidR="00631D0D">
        <w:rPr>
          <w:rFonts w:ascii="Bookman Old Style" w:hAnsi="Bookman Old Style"/>
          <w:sz w:val="22"/>
          <w:szCs w:val="22"/>
        </w:rPr>
        <w:t xml:space="preserve">da remoto o </w:t>
      </w:r>
      <w:r w:rsidR="00153667">
        <w:rPr>
          <w:rFonts w:ascii="Bookman Old Style" w:hAnsi="Bookman Old Style"/>
          <w:sz w:val="22"/>
          <w:szCs w:val="22"/>
        </w:rPr>
        <w:t xml:space="preserve">in </w:t>
      </w:r>
      <w:r w:rsidR="00631D0D">
        <w:rPr>
          <w:rFonts w:ascii="Bookman Old Style" w:hAnsi="Bookman Old Style"/>
          <w:sz w:val="22"/>
          <w:szCs w:val="22"/>
        </w:rPr>
        <w:t xml:space="preserve">modalità mista </w:t>
      </w:r>
      <w:r w:rsidR="0007057E" w:rsidRPr="007D0777">
        <w:rPr>
          <w:rFonts w:ascii="Bookman Old Style" w:hAnsi="Bookman Old Style"/>
          <w:sz w:val="22"/>
          <w:szCs w:val="22"/>
          <w:u w:val="single"/>
        </w:rPr>
        <w:t>pur in assenza di un regolamento</w:t>
      </w:r>
      <w:r w:rsidR="00631D0D">
        <w:rPr>
          <w:rFonts w:ascii="Bookman Old Style" w:hAnsi="Bookman Old Style"/>
          <w:sz w:val="22"/>
          <w:szCs w:val="22"/>
        </w:rPr>
        <w:t>)</w:t>
      </w:r>
      <w:r w:rsidR="0007057E">
        <w:rPr>
          <w:rFonts w:ascii="Bookman Old Style" w:hAnsi="Bookman Old Style"/>
          <w:sz w:val="22"/>
          <w:szCs w:val="22"/>
        </w:rPr>
        <w:t xml:space="preserve"> ad una modalità</w:t>
      </w:r>
      <w:r w:rsidR="000541E7">
        <w:rPr>
          <w:rFonts w:ascii="Bookman Old Style" w:hAnsi="Bookman Old Style"/>
          <w:sz w:val="22"/>
          <w:szCs w:val="22"/>
        </w:rPr>
        <w:t xml:space="preserve"> di svolgimento delle sedute degli </w:t>
      </w:r>
      <w:r w:rsidR="000541E7">
        <w:rPr>
          <w:rFonts w:ascii="Bookman Old Style" w:hAnsi="Bookman Old Style"/>
          <w:sz w:val="22"/>
          <w:szCs w:val="22"/>
        </w:rPr>
        <w:lastRenderedPageBreak/>
        <w:t>organi</w:t>
      </w:r>
      <w:r w:rsidR="0007057E">
        <w:rPr>
          <w:rFonts w:ascii="Bookman Old Style" w:hAnsi="Bookman Old Style"/>
          <w:sz w:val="22"/>
          <w:szCs w:val="22"/>
        </w:rPr>
        <w:t xml:space="preserve">, quella telematica, già utilizzata dagli enti locali. </w:t>
      </w:r>
      <w:r w:rsidR="005E6B60">
        <w:rPr>
          <w:rFonts w:ascii="Bookman Old Style" w:hAnsi="Bookman Old Style"/>
          <w:sz w:val="22"/>
          <w:szCs w:val="22"/>
        </w:rPr>
        <w:t>Dunque,</w:t>
      </w:r>
      <w:r w:rsidR="0007057E">
        <w:rPr>
          <w:rFonts w:ascii="Bookman Old Style" w:hAnsi="Bookman Old Style"/>
          <w:sz w:val="22"/>
          <w:szCs w:val="22"/>
        </w:rPr>
        <w:t xml:space="preserve"> la norma </w:t>
      </w:r>
      <w:r w:rsidR="00631D0D">
        <w:rPr>
          <w:rFonts w:ascii="Bookman Old Style" w:hAnsi="Bookman Old Style"/>
          <w:sz w:val="22"/>
          <w:szCs w:val="22"/>
        </w:rPr>
        <w:t>aveva</w:t>
      </w:r>
      <w:r w:rsidR="0007057E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carattere di </w:t>
      </w:r>
      <w:r w:rsidRPr="00A37FE1">
        <w:rPr>
          <w:rFonts w:ascii="Bookman Old Style" w:hAnsi="Bookman Old Style"/>
          <w:b/>
          <w:bCs/>
          <w:i/>
          <w:iCs/>
          <w:sz w:val="22"/>
          <w:szCs w:val="22"/>
          <w:u w:val="single"/>
        </w:rPr>
        <w:t>temporalità</w:t>
      </w:r>
      <w:r w:rsidR="0007057E" w:rsidRPr="00A37FE1">
        <w:rPr>
          <w:rFonts w:ascii="Bookman Old Style" w:hAnsi="Bookman Old Style"/>
          <w:b/>
          <w:bCs/>
          <w:i/>
          <w:iCs/>
          <w:sz w:val="22"/>
          <w:szCs w:val="22"/>
          <w:u w:val="single"/>
        </w:rPr>
        <w:t xml:space="preserve"> </w:t>
      </w:r>
      <w:r w:rsidR="00365CC1" w:rsidRPr="00A37FE1">
        <w:rPr>
          <w:rFonts w:ascii="Bookman Old Style" w:hAnsi="Bookman Old Style"/>
          <w:i/>
          <w:iCs/>
          <w:sz w:val="22"/>
          <w:szCs w:val="22"/>
          <w:u w:val="single"/>
        </w:rPr>
        <w:t>solo</w:t>
      </w:r>
      <w:r w:rsidR="00A057A5" w:rsidRPr="00A37FE1">
        <w:rPr>
          <w:rFonts w:ascii="Bookman Old Style" w:hAnsi="Bookman Old Style"/>
          <w:i/>
          <w:iCs/>
          <w:sz w:val="22"/>
          <w:szCs w:val="22"/>
          <w:u w:val="single"/>
        </w:rPr>
        <w:t xml:space="preserve"> ed esclusivamente</w:t>
      </w:r>
      <w:r w:rsidR="00A057A5">
        <w:rPr>
          <w:rFonts w:ascii="Bookman Old Style" w:hAnsi="Bookman Old Style"/>
          <w:sz w:val="22"/>
          <w:szCs w:val="22"/>
        </w:rPr>
        <w:t xml:space="preserve"> </w:t>
      </w:r>
      <w:r w:rsidR="00365CC1">
        <w:rPr>
          <w:rFonts w:ascii="Bookman Old Style" w:hAnsi="Bookman Old Style"/>
          <w:sz w:val="22"/>
          <w:szCs w:val="22"/>
        </w:rPr>
        <w:t xml:space="preserve">per l’aspetto </w:t>
      </w:r>
      <w:r w:rsidR="001B6B7E">
        <w:rPr>
          <w:rFonts w:ascii="Bookman Old Style" w:hAnsi="Bookman Old Style"/>
          <w:sz w:val="22"/>
          <w:szCs w:val="22"/>
        </w:rPr>
        <w:t xml:space="preserve">relativo alla deroga appena descritta. </w:t>
      </w:r>
    </w:p>
    <w:p w14:paraId="09F18DA3" w14:textId="091EB326" w:rsidR="00DF213C" w:rsidRDefault="001E60AB" w:rsidP="00A15EBC">
      <w:pPr>
        <w:spacing w:line="360" w:lineRule="auto"/>
        <w:jc w:val="both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  <w:u w:val="single"/>
        </w:rPr>
        <w:t>Il precipitato logico giuridico di quanto appena esposto è che n</w:t>
      </w:r>
      <w:r w:rsidR="00A87E38" w:rsidRPr="00A076F3">
        <w:rPr>
          <w:rFonts w:ascii="Bookman Old Style" w:hAnsi="Bookman Old Style"/>
          <w:sz w:val="22"/>
          <w:szCs w:val="22"/>
          <w:u w:val="single"/>
        </w:rPr>
        <w:t>essun termine</w:t>
      </w:r>
      <w:r w:rsidR="000C7E24" w:rsidRPr="00A076F3">
        <w:rPr>
          <w:rFonts w:ascii="Bookman Old Style" w:hAnsi="Bookman Old Style"/>
          <w:sz w:val="22"/>
          <w:szCs w:val="22"/>
          <w:u w:val="single"/>
        </w:rPr>
        <w:t xml:space="preserve"> poteva e può, viceversa, ritenersi sussi</w:t>
      </w:r>
      <w:r w:rsidR="006E3DD0" w:rsidRPr="00A076F3">
        <w:rPr>
          <w:rFonts w:ascii="Bookman Old Style" w:hAnsi="Bookman Old Style"/>
          <w:sz w:val="22"/>
          <w:szCs w:val="22"/>
          <w:u w:val="single"/>
        </w:rPr>
        <w:t>s</w:t>
      </w:r>
      <w:r w:rsidR="000C7E24" w:rsidRPr="00A076F3">
        <w:rPr>
          <w:rFonts w:ascii="Bookman Old Style" w:hAnsi="Bookman Old Style"/>
          <w:sz w:val="22"/>
          <w:szCs w:val="22"/>
          <w:u w:val="single"/>
        </w:rPr>
        <w:t>tente in merito alla potestà regolamentare de</w:t>
      </w:r>
      <w:r w:rsidR="007C77A0">
        <w:rPr>
          <w:rFonts w:ascii="Bookman Old Style" w:hAnsi="Bookman Old Style"/>
          <w:sz w:val="22"/>
          <w:szCs w:val="22"/>
          <w:u w:val="single"/>
        </w:rPr>
        <w:t xml:space="preserve">gli enti locali </w:t>
      </w:r>
      <w:r w:rsidR="000C7E24" w:rsidRPr="00A076F3">
        <w:rPr>
          <w:rFonts w:ascii="Bookman Old Style" w:hAnsi="Bookman Old Style"/>
          <w:sz w:val="22"/>
          <w:szCs w:val="22"/>
          <w:u w:val="single"/>
        </w:rPr>
        <w:t>di disciplinare</w:t>
      </w:r>
      <w:r w:rsidR="003A360A">
        <w:rPr>
          <w:rFonts w:ascii="Bookman Old Style" w:hAnsi="Bookman Old Style"/>
          <w:sz w:val="22"/>
          <w:szCs w:val="22"/>
          <w:u w:val="single"/>
        </w:rPr>
        <w:t xml:space="preserve">, </w:t>
      </w:r>
      <w:r w:rsidR="0075548A" w:rsidRPr="00A076F3">
        <w:rPr>
          <w:rFonts w:ascii="Bookman Old Style" w:hAnsi="Bookman Old Style"/>
          <w:b/>
          <w:bCs/>
          <w:i/>
          <w:iCs/>
          <w:sz w:val="22"/>
          <w:szCs w:val="22"/>
          <w:u w:val="single"/>
        </w:rPr>
        <w:t>in via ordinaria</w:t>
      </w:r>
      <w:r w:rsidR="004125E8">
        <w:rPr>
          <w:rFonts w:ascii="Bookman Old Style" w:hAnsi="Bookman Old Style"/>
          <w:sz w:val="22"/>
          <w:szCs w:val="22"/>
          <w:u w:val="single"/>
        </w:rPr>
        <w:t xml:space="preserve">, </w:t>
      </w:r>
      <w:r w:rsidR="000C7E24" w:rsidRPr="00A076F3">
        <w:rPr>
          <w:rFonts w:ascii="Bookman Old Style" w:hAnsi="Bookman Old Style"/>
          <w:sz w:val="22"/>
          <w:szCs w:val="22"/>
          <w:u w:val="single"/>
        </w:rPr>
        <w:t xml:space="preserve">tali modalità </w:t>
      </w:r>
      <w:r w:rsidR="00093C1B" w:rsidRPr="00A076F3">
        <w:rPr>
          <w:rFonts w:ascii="Bookman Old Style" w:hAnsi="Bookman Old Style"/>
          <w:sz w:val="22"/>
          <w:szCs w:val="22"/>
          <w:u w:val="single"/>
        </w:rPr>
        <w:t>di funzionamento dei</w:t>
      </w:r>
      <w:r w:rsidR="00021B0C">
        <w:rPr>
          <w:rFonts w:ascii="Bookman Old Style" w:hAnsi="Bookman Old Style"/>
          <w:sz w:val="22"/>
          <w:szCs w:val="22"/>
          <w:u w:val="single"/>
        </w:rPr>
        <w:t xml:space="preserve"> propri organi </w:t>
      </w:r>
      <w:r w:rsidR="00E10CD7">
        <w:rPr>
          <w:rFonts w:ascii="Bookman Old Style" w:hAnsi="Bookman Old Style"/>
          <w:sz w:val="22"/>
          <w:szCs w:val="22"/>
          <w:u w:val="single"/>
        </w:rPr>
        <w:t>in quanto tale facoltà poteva essere esercitata</w:t>
      </w:r>
      <w:r w:rsidR="00093C1B" w:rsidRPr="00A076F3">
        <w:rPr>
          <w:rFonts w:ascii="Bookman Old Style" w:hAnsi="Bookman Old Style"/>
          <w:sz w:val="22"/>
          <w:szCs w:val="22"/>
          <w:u w:val="single"/>
        </w:rPr>
        <w:t xml:space="preserve"> </w:t>
      </w:r>
      <w:r w:rsidR="000C7E24" w:rsidRPr="00A076F3">
        <w:rPr>
          <w:rFonts w:ascii="Bookman Old Style" w:hAnsi="Bookman Old Style"/>
          <w:b/>
          <w:bCs/>
          <w:i/>
          <w:iCs/>
          <w:sz w:val="22"/>
          <w:szCs w:val="22"/>
          <w:u w:val="single"/>
        </w:rPr>
        <w:t>prima, durante e dopo</w:t>
      </w:r>
      <w:r w:rsidR="000C7E24" w:rsidRPr="00A076F3">
        <w:rPr>
          <w:rFonts w:ascii="Bookman Old Style" w:hAnsi="Bookman Old Style"/>
          <w:sz w:val="22"/>
          <w:szCs w:val="22"/>
          <w:u w:val="single"/>
        </w:rPr>
        <w:t xml:space="preserve"> la fase emer</w:t>
      </w:r>
      <w:r w:rsidR="00E07818" w:rsidRPr="00A076F3">
        <w:rPr>
          <w:rFonts w:ascii="Bookman Old Style" w:hAnsi="Bookman Old Style"/>
          <w:sz w:val="22"/>
          <w:szCs w:val="22"/>
          <w:u w:val="single"/>
        </w:rPr>
        <w:t xml:space="preserve">genziale, </w:t>
      </w:r>
      <w:r w:rsidR="0075548A" w:rsidRPr="00A076F3">
        <w:rPr>
          <w:rFonts w:ascii="Bookman Old Style" w:hAnsi="Bookman Old Style"/>
          <w:sz w:val="22"/>
          <w:szCs w:val="22"/>
          <w:u w:val="single"/>
        </w:rPr>
        <w:t xml:space="preserve">in ossequio alle norme </w:t>
      </w:r>
      <w:r w:rsidR="00AD159E" w:rsidRPr="00A076F3">
        <w:rPr>
          <w:rFonts w:ascii="Bookman Old Style" w:hAnsi="Bookman Old Style"/>
          <w:sz w:val="22"/>
          <w:szCs w:val="22"/>
          <w:u w:val="single"/>
        </w:rPr>
        <w:t xml:space="preserve">ordinamentali </w:t>
      </w:r>
      <w:r w:rsidR="0075548A" w:rsidRPr="00A076F3">
        <w:rPr>
          <w:rFonts w:ascii="Bookman Old Style" w:hAnsi="Bookman Old Style"/>
          <w:sz w:val="22"/>
          <w:szCs w:val="22"/>
          <w:u w:val="single"/>
        </w:rPr>
        <w:t>surrichi</w:t>
      </w:r>
      <w:r w:rsidR="00DF213C" w:rsidRPr="00A076F3">
        <w:rPr>
          <w:rFonts w:ascii="Bookman Old Style" w:hAnsi="Bookman Old Style"/>
          <w:sz w:val="22"/>
          <w:szCs w:val="22"/>
          <w:u w:val="single"/>
        </w:rPr>
        <w:t xml:space="preserve">amate del </w:t>
      </w:r>
      <w:r w:rsidR="00AD159E" w:rsidRPr="00A076F3">
        <w:rPr>
          <w:rFonts w:ascii="Bookman Old Style" w:hAnsi="Bookman Old Style"/>
          <w:sz w:val="22"/>
          <w:szCs w:val="22"/>
          <w:u w:val="single"/>
        </w:rPr>
        <w:t xml:space="preserve">Decreto legislativo n. 267/2000 e </w:t>
      </w:r>
      <w:proofErr w:type="spellStart"/>
      <w:r w:rsidR="00AD159E" w:rsidRPr="00A076F3">
        <w:rPr>
          <w:rFonts w:ascii="Bookman Old Style" w:hAnsi="Bookman Old Style"/>
          <w:sz w:val="22"/>
          <w:szCs w:val="22"/>
          <w:u w:val="single"/>
        </w:rPr>
        <w:t>ss</w:t>
      </w:r>
      <w:r w:rsidR="006C57D4">
        <w:rPr>
          <w:rFonts w:ascii="Bookman Old Style" w:hAnsi="Bookman Old Style"/>
          <w:sz w:val="22"/>
          <w:szCs w:val="22"/>
          <w:u w:val="single"/>
        </w:rPr>
        <w:t>.</w:t>
      </w:r>
      <w:r w:rsidR="00AD159E" w:rsidRPr="00A076F3">
        <w:rPr>
          <w:rFonts w:ascii="Bookman Old Style" w:hAnsi="Bookman Old Style"/>
          <w:sz w:val="22"/>
          <w:szCs w:val="22"/>
          <w:u w:val="single"/>
        </w:rPr>
        <w:t>mm</w:t>
      </w:r>
      <w:r w:rsidR="006C57D4">
        <w:rPr>
          <w:rFonts w:ascii="Bookman Old Style" w:hAnsi="Bookman Old Style"/>
          <w:sz w:val="22"/>
          <w:szCs w:val="22"/>
          <w:u w:val="single"/>
        </w:rPr>
        <w:t>.</w:t>
      </w:r>
      <w:r w:rsidR="00AD159E" w:rsidRPr="00A076F3">
        <w:rPr>
          <w:rFonts w:ascii="Bookman Old Style" w:hAnsi="Bookman Old Style"/>
          <w:sz w:val="22"/>
          <w:szCs w:val="22"/>
          <w:u w:val="single"/>
        </w:rPr>
        <w:t>ii</w:t>
      </w:r>
      <w:proofErr w:type="spellEnd"/>
      <w:r w:rsidR="00AD159E" w:rsidRPr="00A076F3">
        <w:rPr>
          <w:rFonts w:ascii="Bookman Old Style" w:hAnsi="Bookman Old Style"/>
          <w:sz w:val="22"/>
          <w:szCs w:val="22"/>
          <w:u w:val="single"/>
        </w:rPr>
        <w:t xml:space="preserve">. </w:t>
      </w:r>
      <w:r w:rsidR="00DF213C" w:rsidRPr="00A076F3">
        <w:rPr>
          <w:rFonts w:ascii="Bookman Old Style" w:hAnsi="Bookman Old Style"/>
          <w:sz w:val="22"/>
          <w:szCs w:val="22"/>
          <w:u w:val="single"/>
        </w:rPr>
        <w:t xml:space="preserve"> </w:t>
      </w:r>
    </w:p>
    <w:p w14:paraId="7CCB7BAB" w14:textId="29B75A50" w:rsidR="004A5315" w:rsidRPr="00DD4690" w:rsidRDefault="004A5315" w:rsidP="00A15EBC">
      <w:pPr>
        <w:spacing w:line="360" w:lineRule="auto"/>
        <w:jc w:val="both"/>
        <w:rPr>
          <w:rFonts w:ascii="Bookman Old Style" w:hAnsi="Bookman Old Style"/>
          <w:b/>
          <w:bCs/>
          <w:i/>
          <w:iCs/>
          <w:sz w:val="22"/>
          <w:szCs w:val="22"/>
        </w:rPr>
      </w:pPr>
      <w:r w:rsidRPr="00DD4690">
        <w:rPr>
          <w:rFonts w:ascii="Bookman Old Style" w:hAnsi="Bookman Old Style"/>
          <w:b/>
          <w:bCs/>
          <w:i/>
          <w:iCs/>
          <w:sz w:val="22"/>
          <w:szCs w:val="22"/>
        </w:rPr>
        <w:t>Dunque, tutti i regolamenti adottati dagli enti locali</w:t>
      </w:r>
      <w:r w:rsidR="00B42930" w:rsidRPr="00DD4690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 prima </w:t>
      </w:r>
      <w:r w:rsidR="009129EB" w:rsidRPr="00DD4690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e durante </w:t>
      </w:r>
      <w:r w:rsidR="00B42930" w:rsidRPr="00DD4690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lo stato emergenziale, </w:t>
      </w:r>
      <w:r w:rsidRPr="00DD4690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per disciplinare lo svolgimento delle sedute dei propri </w:t>
      </w:r>
      <w:r w:rsidR="00BD5501" w:rsidRPr="00DD4690">
        <w:rPr>
          <w:rFonts w:ascii="Bookman Old Style" w:hAnsi="Bookman Old Style"/>
          <w:b/>
          <w:bCs/>
          <w:i/>
          <w:iCs/>
          <w:sz w:val="22"/>
          <w:szCs w:val="22"/>
        </w:rPr>
        <w:t>organi da remoto o in modalità mista</w:t>
      </w:r>
      <w:r w:rsidR="009129EB" w:rsidRPr="00DD4690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, </w:t>
      </w:r>
      <w:r w:rsidR="00BD5501" w:rsidRPr="00DD4690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continuano ad essere efficaci </w:t>
      </w:r>
      <w:r w:rsidR="00352C19" w:rsidRPr="00DD4690">
        <w:rPr>
          <w:rFonts w:ascii="Bookman Old Style" w:hAnsi="Bookman Old Style"/>
          <w:b/>
          <w:bCs/>
          <w:i/>
          <w:iCs/>
          <w:sz w:val="22"/>
          <w:szCs w:val="22"/>
        </w:rPr>
        <w:t>anche successivamente al termine d</w:t>
      </w:r>
      <w:r w:rsidR="00ED0C16" w:rsidRPr="00DD4690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i cessazione dello stato emergenziale (31 marzo u.s.).  </w:t>
      </w:r>
      <w:r w:rsidR="00A170CC" w:rsidRPr="00DD4690">
        <w:rPr>
          <w:rFonts w:ascii="Bookman Old Style" w:hAnsi="Bookman Old Style"/>
          <w:b/>
          <w:bCs/>
          <w:i/>
          <w:iCs/>
          <w:sz w:val="22"/>
          <w:szCs w:val="22"/>
        </w:rPr>
        <w:t>Ovviamente, s</w:t>
      </w:r>
      <w:r w:rsidR="00947296" w:rsidRPr="00DD4690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tesso ragionamento vale per gli enti che, dopo il 31 marzo, vorranno </w:t>
      </w:r>
      <w:r w:rsidR="00A170CC" w:rsidRPr="00DD4690">
        <w:rPr>
          <w:rFonts w:ascii="Bookman Old Style" w:hAnsi="Bookman Old Style"/>
          <w:b/>
          <w:bCs/>
          <w:i/>
          <w:iCs/>
          <w:sz w:val="22"/>
          <w:szCs w:val="22"/>
        </w:rPr>
        <w:t>dotarsi di tale strumento regolamentare</w:t>
      </w:r>
      <w:r w:rsidR="00FB0F93" w:rsidRPr="00DD4690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 della materia </w:t>
      </w:r>
      <w:r w:rsidR="00711BE5">
        <w:rPr>
          <w:rFonts w:ascii="Bookman Old Style" w:hAnsi="Bookman Old Style"/>
          <w:b/>
          <w:bCs/>
          <w:i/>
          <w:iCs/>
          <w:sz w:val="22"/>
          <w:szCs w:val="22"/>
        </w:rPr>
        <w:t>“</w:t>
      </w:r>
      <w:r w:rsidR="00FB0F93" w:rsidRPr="00711BE5">
        <w:rPr>
          <w:rFonts w:ascii="Bookman Old Style" w:hAnsi="Bookman Old Style"/>
          <w:b/>
          <w:bCs/>
          <w:i/>
          <w:iCs/>
          <w:sz w:val="22"/>
          <w:szCs w:val="22"/>
        </w:rPr>
        <w:t>de qua</w:t>
      </w:r>
      <w:r w:rsidR="00711BE5">
        <w:rPr>
          <w:rFonts w:ascii="Bookman Old Style" w:hAnsi="Bookman Old Style"/>
          <w:b/>
          <w:bCs/>
          <w:i/>
          <w:iCs/>
          <w:sz w:val="22"/>
          <w:szCs w:val="22"/>
        </w:rPr>
        <w:t>”</w:t>
      </w:r>
      <w:r w:rsidR="00FB0F93" w:rsidRPr="00DD4690">
        <w:rPr>
          <w:rFonts w:ascii="Bookman Old Style" w:hAnsi="Bookman Old Style"/>
          <w:b/>
          <w:bCs/>
          <w:i/>
          <w:iCs/>
          <w:sz w:val="22"/>
          <w:szCs w:val="22"/>
        </w:rPr>
        <w:t>.</w:t>
      </w:r>
      <w:r w:rsidR="00A170CC" w:rsidRPr="00DD4690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 </w:t>
      </w:r>
    </w:p>
    <w:p w14:paraId="0D6577B8" w14:textId="51ADB509" w:rsidR="00653937" w:rsidRDefault="001328F1" w:rsidP="00A15EB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Unica fattispecie che residua e su cui </w:t>
      </w:r>
      <w:r w:rsidR="006737AB">
        <w:rPr>
          <w:rFonts w:ascii="Bookman Old Style" w:hAnsi="Bookman Old Style"/>
          <w:sz w:val="22"/>
          <w:szCs w:val="22"/>
        </w:rPr>
        <w:t xml:space="preserve">invece </w:t>
      </w:r>
      <w:r w:rsidR="0095532A">
        <w:rPr>
          <w:rFonts w:ascii="Bookman Old Style" w:hAnsi="Bookman Old Style"/>
          <w:sz w:val="22"/>
          <w:szCs w:val="22"/>
        </w:rPr>
        <w:t>si ritiene sussistano f</w:t>
      </w:r>
      <w:r w:rsidR="00352C19">
        <w:rPr>
          <w:rFonts w:ascii="Bookman Old Style" w:hAnsi="Bookman Old Style"/>
          <w:sz w:val="22"/>
          <w:szCs w:val="22"/>
        </w:rPr>
        <w:t xml:space="preserve">orti dubbi </w:t>
      </w:r>
      <w:r w:rsidR="006A57AC">
        <w:rPr>
          <w:rFonts w:ascii="Bookman Old Style" w:hAnsi="Bookman Old Style"/>
          <w:sz w:val="22"/>
          <w:szCs w:val="22"/>
        </w:rPr>
        <w:t>interpretativ</w:t>
      </w:r>
      <w:r w:rsidR="00352C19">
        <w:rPr>
          <w:rFonts w:ascii="Bookman Old Style" w:hAnsi="Bookman Old Style"/>
          <w:sz w:val="22"/>
          <w:szCs w:val="22"/>
        </w:rPr>
        <w:t>i</w:t>
      </w:r>
      <w:r w:rsidR="006A57AC">
        <w:rPr>
          <w:rFonts w:ascii="Bookman Old Style" w:hAnsi="Bookman Old Style"/>
          <w:sz w:val="22"/>
          <w:szCs w:val="22"/>
        </w:rPr>
        <w:t xml:space="preserve"> </w:t>
      </w:r>
      <w:r w:rsidR="0050411F">
        <w:rPr>
          <w:rFonts w:ascii="Bookman Old Style" w:hAnsi="Bookman Old Style"/>
          <w:sz w:val="22"/>
          <w:szCs w:val="22"/>
        </w:rPr>
        <w:t xml:space="preserve">circa la </w:t>
      </w:r>
      <w:r w:rsidR="00DD4690">
        <w:rPr>
          <w:rFonts w:ascii="Bookman Old Style" w:hAnsi="Bookman Old Style"/>
          <w:sz w:val="22"/>
          <w:szCs w:val="22"/>
        </w:rPr>
        <w:t xml:space="preserve">sua </w:t>
      </w:r>
      <w:r w:rsidR="003E17E6">
        <w:rPr>
          <w:rFonts w:ascii="Bookman Old Style" w:hAnsi="Bookman Old Style"/>
          <w:sz w:val="22"/>
          <w:szCs w:val="22"/>
        </w:rPr>
        <w:t>p</w:t>
      </w:r>
      <w:r w:rsidR="00DD4690">
        <w:rPr>
          <w:rFonts w:ascii="Bookman Old Style" w:hAnsi="Bookman Old Style"/>
          <w:sz w:val="22"/>
          <w:szCs w:val="22"/>
        </w:rPr>
        <w:t xml:space="preserve">raticabilità </w:t>
      </w:r>
      <w:r w:rsidR="003E17E6">
        <w:rPr>
          <w:rFonts w:ascii="Bookman Old Style" w:hAnsi="Bookman Old Style"/>
          <w:sz w:val="22"/>
          <w:szCs w:val="22"/>
        </w:rPr>
        <w:t xml:space="preserve">giuridica </w:t>
      </w:r>
      <w:r w:rsidR="0072360F">
        <w:rPr>
          <w:rFonts w:ascii="Bookman Old Style" w:hAnsi="Bookman Old Style"/>
          <w:sz w:val="22"/>
          <w:szCs w:val="22"/>
        </w:rPr>
        <w:t xml:space="preserve">è quella relativa </w:t>
      </w:r>
      <w:r w:rsidR="005F13DD">
        <w:rPr>
          <w:rFonts w:ascii="Bookman Old Style" w:hAnsi="Bookman Old Style"/>
          <w:sz w:val="22"/>
          <w:szCs w:val="22"/>
        </w:rPr>
        <w:t>all’ente locale che</w:t>
      </w:r>
      <w:r w:rsidR="00790E74">
        <w:rPr>
          <w:rFonts w:ascii="Bookman Old Style" w:hAnsi="Bookman Old Style"/>
          <w:sz w:val="22"/>
          <w:szCs w:val="22"/>
        </w:rPr>
        <w:t>,</w:t>
      </w:r>
      <w:r w:rsidR="005F13DD">
        <w:rPr>
          <w:rFonts w:ascii="Bookman Old Style" w:hAnsi="Bookman Old Style"/>
          <w:sz w:val="22"/>
          <w:szCs w:val="22"/>
        </w:rPr>
        <w:t xml:space="preserve"> </w:t>
      </w:r>
      <w:r w:rsidR="005F13DD" w:rsidRPr="0050411F">
        <w:rPr>
          <w:rFonts w:ascii="Bookman Old Style" w:hAnsi="Bookman Old Style"/>
          <w:b/>
          <w:bCs/>
          <w:sz w:val="22"/>
          <w:szCs w:val="22"/>
        </w:rPr>
        <w:t xml:space="preserve">non avendo </w:t>
      </w:r>
      <w:r w:rsidR="009D5167" w:rsidRPr="0050411F">
        <w:rPr>
          <w:rFonts w:ascii="Bookman Old Style" w:hAnsi="Bookman Old Style"/>
          <w:b/>
          <w:bCs/>
          <w:sz w:val="22"/>
          <w:szCs w:val="22"/>
        </w:rPr>
        <w:t xml:space="preserve">ancora </w:t>
      </w:r>
      <w:r w:rsidR="005F13DD" w:rsidRPr="0050411F">
        <w:rPr>
          <w:rFonts w:ascii="Bookman Old Style" w:hAnsi="Bookman Old Style"/>
          <w:b/>
          <w:bCs/>
          <w:sz w:val="22"/>
          <w:szCs w:val="22"/>
        </w:rPr>
        <w:t>adottato alcun regolamento,</w:t>
      </w:r>
      <w:r w:rsidR="005F13DD">
        <w:rPr>
          <w:rFonts w:ascii="Bookman Old Style" w:hAnsi="Bookman Old Style"/>
          <w:sz w:val="22"/>
          <w:szCs w:val="22"/>
        </w:rPr>
        <w:t xml:space="preserve"> voglia </w:t>
      </w:r>
      <w:r w:rsidR="00653937">
        <w:rPr>
          <w:rFonts w:ascii="Bookman Old Style" w:hAnsi="Bookman Old Style"/>
          <w:sz w:val="22"/>
          <w:szCs w:val="22"/>
        </w:rPr>
        <w:t xml:space="preserve">proseguire con le modalità di svolgimento delle sedute degli organi collegiali </w:t>
      </w:r>
      <w:r w:rsidR="00790E74">
        <w:rPr>
          <w:rFonts w:ascii="Bookman Old Style" w:hAnsi="Bookman Old Style"/>
          <w:sz w:val="22"/>
          <w:szCs w:val="22"/>
        </w:rPr>
        <w:t xml:space="preserve">in modalità mista o solo da remoto, </w:t>
      </w:r>
      <w:r w:rsidR="00653937">
        <w:rPr>
          <w:rFonts w:ascii="Bookman Old Style" w:hAnsi="Bookman Old Style"/>
          <w:sz w:val="22"/>
          <w:szCs w:val="22"/>
        </w:rPr>
        <w:t xml:space="preserve">anche successivamente alla data di cessazione dell’emergenza e cioè dopo il 31 marzo u.s. </w:t>
      </w:r>
    </w:p>
    <w:p w14:paraId="12D69FB4" w14:textId="485DBABE" w:rsidR="008E1F6C" w:rsidRDefault="008E1F6C" w:rsidP="00A15EB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Su tale </w:t>
      </w:r>
      <w:r w:rsidR="004F3D11">
        <w:rPr>
          <w:rFonts w:ascii="Bookman Old Style" w:hAnsi="Bookman Old Style"/>
          <w:sz w:val="22"/>
          <w:szCs w:val="22"/>
        </w:rPr>
        <w:t xml:space="preserve">ultimo punto, </w:t>
      </w:r>
      <w:r w:rsidR="00DC37F4">
        <w:rPr>
          <w:rFonts w:ascii="Bookman Old Style" w:hAnsi="Bookman Old Style"/>
          <w:sz w:val="22"/>
          <w:szCs w:val="22"/>
        </w:rPr>
        <w:t xml:space="preserve">alla luce dei dati epidemiologici che </w:t>
      </w:r>
      <w:r w:rsidR="00E14F41">
        <w:rPr>
          <w:rFonts w:ascii="Bookman Old Style" w:hAnsi="Bookman Old Style"/>
          <w:sz w:val="22"/>
          <w:szCs w:val="22"/>
        </w:rPr>
        <w:t xml:space="preserve">impongono ancora misure di sicurezza e di prevenzione della diffusione del virus Covid -19, </w:t>
      </w:r>
      <w:r w:rsidR="00653B06">
        <w:rPr>
          <w:rFonts w:ascii="Bookman Old Style" w:hAnsi="Bookman Old Style"/>
          <w:sz w:val="22"/>
          <w:szCs w:val="22"/>
        </w:rPr>
        <w:t xml:space="preserve"> l’</w:t>
      </w:r>
      <w:r w:rsidR="00C3482D">
        <w:rPr>
          <w:rFonts w:ascii="Bookman Old Style" w:hAnsi="Bookman Old Style"/>
          <w:sz w:val="22"/>
          <w:szCs w:val="22"/>
        </w:rPr>
        <w:t>ANCI h</w:t>
      </w:r>
      <w:r w:rsidR="004F3D11">
        <w:rPr>
          <w:rFonts w:ascii="Bookman Old Style" w:hAnsi="Bookman Old Style"/>
          <w:sz w:val="22"/>
          <w:szCs w:val="22"/>
        </w:rPr>
        <w:t>a</w:t>
      </w:r>
      <w:r w:rsidR="00DB7450">
        <w:rPr>
          <w:rFonts w:ascii="Bookman Old Style" w:hAnsi="Bookman Old Style"/>
          <w:sz w:val="22"/>
          <w:szCs w:val="22"/>
        </w:rPr>
        <w:t xml:space="preserve"> </w:t>
      </w:r>
      <w:r w:rsidR="004F3D11">
        <w:rPr>
          <w:rFonts w:ascii="Bookman Old Style" w:hAnsi="Bookman Old Style"/>
          <w:sz w:val="22"/>
          <w:szCs w:val="22"/>
        </w:rPr>
        <w:t>chiesto al Ministero del</w:t>
      </w:r>
      <w:r w:rsidR="00C3431C">
        <w:rPr>
          <w:rFonts w:ascii="Bookman Old Style" w:hAnsi="Bookman Old Style"/>
          <w:sz w:val="22"/>
          <w:szCs w:val="22"/>
        </w:rPr>
        <w:t>l</w:t>
      </w:r>
      <w:r w:rsidR="0013281B">
        <w:rPr>
          <w:rFonts w:ascii="Bookman Old Style" w:hAnsi="Bookman Old Style"/>
          <w:sz w:val="22"/>
          <w:szCs w:val="22"/>
        </w:rPr>
        <w:t>’Interno di fornire una soluzione, anche in via amministrativa</w:t>
      </w:r>
      <w:r w:rsidR="007616D8">
        <w:rPr>
          <w:rFonts w:ascii="Bookman Old Style" w:hAnsi="Bookman Old Style"/>
          <w:sz w:val="22"/>
          <w:szCs w:val="22"/>
        </w:rPr>
        <w:t xml:space="preserve">, idonea </w:t>
      </w:r>
      <w:r w:rsidR="00942508">
        <w:rPr>
          <w:rFonts w:ascii="Bookman Old Style" w:hAnsi="Bookman Old Style"/>
          <w:sz w:val="22"/>
          <w:szCs w:val="22"/>
        </w:rPr>
        <w:t xml:space="preserve">ad individuare una fase transitoria </w:t>
      </w:r>
      <w:r w:rsidR="00836245">
        <w:rPr>
          <w:rFonts w:ascii="Bookman Old Style" w:hAnsi="Bookman Old Style"/>
          <w:sz w:val="22"/>
          <w:szCs w:val="22"/>
        </w:rPr>
        <w:t xml:space="preserve">che consenta di procedere a sedute di consigli e giunte comunali </w:t>
      </w:r>
      <w:r w:rsidR="00DB7450">
        <w:rPr>
          <w:rFonts w:ascii="Bookman Old Style" w:hAnsi="Bookman Old Style"/>
          <w:sz w:val="22"/>
          <w:szCs w:val="22"/>
        </w:rPr>
        <w:t>da remoto o in modalità mista</w:t>
      </w:r>
      <w:r w:rsidR="0072360F">
        <w:rPr>
          <w:rFonts w:ascii="Bookman Old Style" w:hAnsi="Bookman Old Style"/>
          <w:sz w:val="22"/>
          <w:szCs w:val="22"/>
        </w:rPr>
        <w:t xml:space="preserve">, </w:t>
      </w:r>
      <w:r w:rsidR="00341698">
        <w:rPr>
          <w:rFonts w:ascii="Bookman Old Style" w:hAnsi="Bookman Old Style"/>
          <w:sz w:val="22"/>
          <w:szCs w:val="22"/>
        </w:rPr>
        <w:t>nelle more di adozione d</w:t>
      </w:r>
      <w:r w:rsidR="00896D26">
        <w:rPr>
          <w:rFonts w:ascii="Bookman Old Style" w:hAnsi="Bookman Old Style"/>
          <w:sz w:val="22"/>
          <w:szCs w:val="22"/>
        </w:rPr>
        <w:t xml:space="preserve">i un regolamento specifico della materia. </w:t>
      </w:r>
      <w:r w:rsidR="00341698">
        <w:rPr>
          <w:rFonts w:ascii="Bookman Old Style" w:hAnsi="Bookman Old Style"/>
          <w:sz w:val="22"/>
          <w:szCs w:val="22"/>
        </w:rPr>
        <w:t xml:space="preserve"> </w:t>
      </w:r>
    </w:p>
    <w:sectPr w:rsidR="008E1F6C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6E3A0" w14:textId="77777777" w:rsidR="00582F87" w:rsidRDefault="00582F87" w:rsidP="009C5F4C">
      <w:pPr>
        <w:spacing w:after="0" w:line="240" w:lineRule="auto"/>
      </w:pPr>
      <w:r>
        <w:separator/>
      </w:r>
    </w:p>
  </w:endnote>
  <w:endnote w:type="continuationSeparator" w:id="0">
    <w:p w14:paraId="1E3C6DB9" w14:textId="77777777" w:rsidR="00582F87" w:rsidRDefault="00582F87" w:rsidP="009C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00254872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FD125B5" w14:textId="4D6FA6F5" w:rsidR="00004872" w:rsidRDefault="00004872" w:rsidP="003E67D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BA8A510" w14:textId="77777777" w:rsidR="00004872" w:rsidRDefault="00004872" w:rsidP="0000487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2AC1" w14:textId="77777777" w:rsidR="00004872" w:rsidRDefault="00004872" w:rsidP="0000487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AD3CF" w14:textId="77777777" w:rsidR="00582F87" w:rsidRDefault="00582F87" w:rsidP="009C5F4C">
      <w:pPr>
        <w:spacing w:after="0" w:line="240" w:lineRule="auto"/>
      </w:pPr>
      <w:r>
        <w:separator/>
      </w:r>
    </w:p>
  </w:footnote>
  <w:footnote w:type="continuationSeparator" w:id="0">
    <w:p w14:paraId="3946915B" w14:textId="77777777" w:rsidR="00582F87" w:rsidRDefault="00582F87" w:rsidP="009C5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118BD" w14:textId="77777777" w:rsidR="00877598" w:rsidRDefault="008775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D0B17"/>
    <w:multiLevelType w:val="hybridMultilevel"/>
    <w:tmpl w:val="6972C4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A0FD9"/>
    <w:multiLevelType w:val="hybridMultilevel"/>
    <w:tmpl w:val="B26EC6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4C"/>
    <w:rsid w:val="00004872"/>
    <w:rsid w:val="00021B0C"/>
    <w:rsid w:val="00042A46"/>
    <w:rsid w:val="000541E7"/>
    <w:rsid w:val="0007057E"/>
    <w:rsid w:val="00070A32"/>
    <w:rsid w:val="00093C1B"/>
    <w:rsid w:val="000A01B9"/>
    <w:rsid w:val="000A6074"/>
    <w:rsid w:val="000C7E24"/>
    <w:rsid w:val="000D0189"/>
    <w:rsid w:val="000D7BFD"/>
    <w:rsid w:val="0010430F"/>
    <w:rsid w:val="0013281B"/>
    <w:rsid w:val="001328F1"/>
    <w:rsid w:val="00153667"/>
    <w:rsid w:val="00171FB0"/>
    <w:rsid w:val="001766FA"/>
    <w:rsid w:val="001803D1"/>
    <w:rsid w:val="00185A46"/>
    <w:rsid w:val="001A506C"/>
    <w:rsid w:val="001A748E"/>
    <w:rsid w:val="001B6B7E"/>
    <w:rsid w:val="001C3E9A"/>
    <w:rsid w:val="001E60AB"/>
    <w:rsid w:val="001E6671"/>
    <w:rsid w:val="002009B8"/>
    <w:rsid w:val="0021137E"/>
    <w:rsid w:val="00214239"/>
    <w:rsid w:val="00231927"/>
    <w:rsid w:val="002341B6"/>
    <w:rsid w:val="00297D1C"/>
    <w:rsid w:val="002D0783"/>
    <w:rsid w:val="002D4B11"/>
    <w:rsid w:val="002E0F46"/>
    <w:rsid w:val="002E2118"/>
    <w:rsid w:val="002E6790"/>
    <w:rsid w:val="00321B69"/>
    <w:rsid w:val="003410C7"/>
    <w:rsid w:val="00341698"/>
    <w:rsid w:val="00351391"/>
    <w:rsid w:val="00352C19"/>
    <w:rsid w:val="00361BA3"/>
    <w:rsid w:val="00365CC1"/>
    <w:rsid w:val="0038271F"/>
    <w:rsid w:val="003A360A"/>
    <w:rsid w:val="003E17E6"/>
    <w:rsid w:val="004125E8"/>
    <w:rsid w:val="00430388"/>
    <w:rsid w:val="0043345D"/>
    <w:rsid w:val="00433EF0"/>
    <w:rsid w:val="00465C36"/>
    <w:rsid w:val="004769C4"/>
    <w:rsid w:val="004A5315"/>
    <w:rsid w:val="004D509F"/>
    <w:rsid w:val="004F3D11"/>
    <w:rsid w:val="00501CF9"/>
    <w:rsid w:val="0050411F"/>
    <w:rsid w:val="0052286B"/>
    <w:rsid w:val="00534899"/>
    <w:rsid w:val="00540143"/>
    <w:rsid w:val="00540F61"/>
    <w:rsid w:val="0055283A"/>
    <w:rsid w:val="00582F87"/>
    <w:rsid w:val="00595EBF"/>
    <w:rsid w:val="005C76C5"/>
    <w:rsid w:val="005E16F4"/>
    <w:rsid w:val="005E6B60"/>
    <w:rsid w:val="005F13DD"/>
    <w:rsid w:val="0062284F"/>
    <w:rsid w:val="00631D0D"/>
    <w:rsid w:val="006470B8"/>
    <w:rsid w:val="00650FB0"/>
    <w:rsid w:val="00653937"/>
    <w:rsid w:val="00653B06"/>
    <w:rsid w:val="006737AB"/>
    <w:rsid w:val="006847A3"/>
    <w:rsid w:val="00690781"/>
    <w:rsid w:val="006A57AC"/>
    <w:rsid w:val="006C57D4"/>
    <w:rsid w:val="006C69A5"/>
    <w:rsid w:val="006C69E0"/>
    <w:rsid w:val="006E3DD0"/>
    <w:rsid w:val="006F7A89"/>
    <w:rsid w:val="00710A0F"/>
    <w:rsid w:val="00711BE5"/>
    <w:rsid w:val="0072360F"/>
    <w:rsid w:val="00727495"/>
    <w:rsid w:val="007534B0"/>
    <w:rsid w:val="0075548A"/>
    <w:rsid w:val="007616D8"/>
    <w:rsid w:val="007642EA"/>
    <w:rsid w:val="007872D7"/>
    <w:rsid w:val="00790E74"/>
    <w:rsid w:val="007A2068"/>
    <w:rsid w:val="007B1A45"/>
    <w:rsid w:val="007C77A0"/>
    <w:rsid w:val="007D0777"/>
    <w:rsid w:val="007F0DBC"/>
    <w:rsid w:val="00807CC2"/>
    <w:rsid w:val="008227AF"/>
    <w:rsid w:val="00834E45"/>
    <w:rsid w:val="00836245"/>
    <w:rsid w:val="008364F3"/>
    <w:rsid w:val="00863426"/>
    <w:rsid w:val="00877598"/>
    <w:rsid w:val="008861FA"/>
    <w:rsid w:val="00886C48"/>
    <w:rsid w:val="00896D26"/>
    <w:rsid w:val="008A1013"/>
    <w:rsid w:val="008B6461"/>
    <w:rsid w:val="008E1F6C"/>
    <w:rsid w:val="008E20A4"/>
    <w:rsid w:val="008F3382"/>
    <w:rsid w:val="00901195"/>
    <w:rsid w:val="009030B6"/>
    <w:rsid w:val="009127AD"/>
    <w:rsid w:val="009129EB"/>
    <w:rsid w:val="00913041"/>
    <w:rsid w:val="0092230B"/>
    <w:rsid w:val="00933139"/>
    <w:rsid w:val="0094155C"/>
    <w:rsid w:val="00942508"/>
    <w:rsid w:val="00947296"/>
    <w:rsid w:val="009478E8"/>
    <w:rsid w:val="0095532A"/>
    <w:rsid w:val="009B176E"/>
    <w:rsid w:val="009B4DE7"/>
    <w:rsid w:val="009C58F2"/>
    <w:rsid w:val="009C5F4C"/>
    <w:rsid w:val="009D1FA0"/>
    <w:rsid w:val="009D50AB"/>
    <w:rsid w:val="009D5167"/>
    <w:rsid w:val="00A057A5"/>
    <w:rsid w:val="00A072CF"/>
    <w:rsid w:val="00A076F3"/>
    <w:rsid w:val="00A113F2"/>
    <w:rsid w:val="00A15EBC"/>
    <w:rsid w:val="00A170CC"/>
    <w:rsid w:val="00A2285B"/>
    <w:rsid w:val="00A241FA"/>
    <w:rsid w:val="00A306DD"/>
    <w:rsid w:val="00A37FE1"/>
    <w:rsid w:val="00A413C9"/>
    <w:rsid w:val="00A436C2"/>
    <w:rsid w:val="00A87E38"/>
    <w:rsid w:val="00AA0F31"/>
    <w:rsid w:val="00AC41CC"/>
    <w:rsid w:val="00AD159E"/>
    <w:rsid w:val="00B42930"/>
    <w:rsid w:val="00B63598"/>
    <w:rsid w:val="00B6657B"/>
    <w:rsid w:val="00B77E25"/>
    <w:rsid w:val="00B91E1E"/>
    <w:rsid w:val="00B92CC5"/>
    <w:rsid w:val="00B93DF5"/>
    <w:rsid w:val="00BB6AFE"/>
    <w:rsid w:val="00BD5501"/>
    <w:rsid w:val="00BF438A"/>
    <w:rsid w:val="00C27C57"/>
    <w:rsid w:val="00C3431C"/>
    <w:rsid w:val="00C3482D"/>
    <w:rsid w:val="00C42B19"/>
    <w:rsid w:val="00C439BC"/>
    <w:rsid w:val="00C523A6"/>
    <w:rsid w:val="00C57763"/>
    <w:rsid w:val="00C649F1"/>
    <w:rsid w:val="00C66DB7"/>
    <w:rsid w:val="00C67E43"/>
    <w:rsid w:val="00C975EE"/>
    <w:rsid w:val="00CB4E34"/>
    <w:rsid w:val="00CD3BC2"/>
    <w:rsid w:val="00CD4C00"/>
    <w:rsid w:val="00D006FE"/>
    <w:rsid w:val="00D066F4"/>
    <w:rsid w:val="00D3396C"/>
    <w:rsid w:val="00D41319"/>
    <w:rsid w:val="00D559DD"/>
    <w:rsid w:val="00D601B6"/>
    <w:rsid w:val="00D74B30"/>
    <w:rsid w:val="00D82EEC"/>
    <w:rsid w:val="00DB7450"/>
    <w:rsid w:val="00DC37F4"/>
    <w:rsid w:val="00DC5B47"/>
    <w:rsid w:val="00DD4690"/>
    <w:rsid w:val="00DF213C"/>
    <w:rsid w:val="00E07818"/>
    <w:rsid w:val="00E10CD7"/>
    <w:rsid w:val="00E12C33"/>
    <w:rsid w:val="00E14F41"/>
    <w:rsid w:val="00E66071"/>
    <w:rsid w:val="00E67347"/>
    <w:rsid w:val="00EA7132"/>
    <w:rsid w:val="00EB75EA"/>
    <w:rsid w:val="00ED0C16"/>
    <w:rsid w:val="00ED420D"/>
    <w:rsid w:val="00EF6047"/>
    <w:rsid w:val="00F349CA"/>
    <w:rsid w:val="00F35041"/>
    <w:rsid w:val="00F37821"/>
    <w:rsid w:val="00F43FED"/>
    <w:rsid w:val="00F55BD2"/>
    <w:rsid w:val="00FB0F93"/>
    <w:rsid w:val="00FF47DE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FD63"/>
  <w15:chartTrackingRefBased/>
  <w15:docId w15:val="{2834A97A-B5BD-9D4B-A1A1-028A5D7C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5A46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uiPriority w:val="20"/>
    <w:qFormat/>
    <w:rsid w:val="009C5F4C"/>
    <w:rPr>
      <w:i/>
      <w:iCs/>
    </w:rPr>
  </w:style>
  <w:style w:type="paragraph" w:styleId="NormaleWeb">
    <w:name w:val="Normal (Web)"/>
    <w:basedOn w:val="Normale"/>
    <w:uiPriority w:val="99"/>
    <w:unhideWhenUsed/>
    <w:rsid w:val="009C5F4C"/>
    <w:pPr>
      <w:spacing w:before="100" w:beforeAutospacing="1" w:after="100" w:afterAutospacing="1"/>
    </w:pPr>
  </w:style>
  <w:style w:type="character" w:customStyle="1" w:styleId="linkneltesto">
    <w:name w:val="link_nel_testo"/>
    <w:basedOn w:val="Carpredefinitoparagrafo"/>
    <w:rsid w:val="009C5F4C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C5F4C"/>
    <w:pPr>
      <w:widowControl w:val="0"/>
      <w:suppressAutoHyphens/>
      <w:autoSpaceDN w:val="0"/>
      <w:textAlignment w:val="baseline"/>
    </w:pPr>
    <w:rPr>
      <w:rFonts w:eastAsia="SimSun" w:cs="Mangal"/>
      <w:kern w:val="3"/>
      <w:sz w:val="20"/>
      <w:szCs w:val="18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C5F4C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C5F4C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0048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4872"/>
  </w:style>
  <w:style w:type="character" w:styleId="Numeropagina">
    <w:name w:val="page number"/>
    <w:basedOn w:val="Carpredefinitoparagrafo"/>
    <w:uiPriority w:val="99"/>
    <w:semiHidden/>
    <w:unhideWhenUsed/>
    <w:rsid w:val="00004872"/>
  </w:style>
  <w:style w:type="paragraph" w:styleId="Intestazione">
    <w:name w:val="header"/>
    <w:basedOn w:val="Normale"/>
    <w:link w:val="IntestazioneCarattere"/>
    <w:uiPriority w:val="99"/>
    <w:unhideWhenUsed/>
    <w:rsid w:val="000048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4872"/>
  </w:style>
  <w:style w:type="paragraph" w:styleId="Paragrafoelenco">
    <w:name w:val="List Paragraph"/>
    <w:basedOn w:val="Normale"/>
    <w:uiPriority w:val="34"/>
    <w:qFormat/>
    <w:rsid w:val="00476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5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5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81A444-CF55-F24D-A8D7-DD81BEC5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Rosaria Di Cecca</dc:creator>
  <cp:keywords/>
  <dc:description/>
  <cp:lastModifiedBy>Barilla Carmelina</cp:lastModifiedBy>
  <cp:revision>2</cp:revision>
  <dcterms:created xsi:type="dcterms:W3CDTF">2022-04-01T16:15:00Z</dcterms:created>
  <dcterms:modified xsi:type="dcterms:W3CDTF">2022-04-01T16:15:00Z</dcterms:modified>
</cp:coreProperties>
</file>