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01" w:rsidRPr="00526501" w:rsidRDefault="00526501" w:rsidP="007F1D5C">
      <w:pPr>
        <w:shd w:val="clear" w:color="auto" w:fill="FFFFFF"/>
        <w:ind w:right="240"/>
        <w:jc w:val="center"/>
        <w:outlineLvl w:val="1"/>
        <w:rPr>
          <w:rFonts w:ascii="Berlin Sans FB Demi" w:eastAsia="Times New Roman" w:hAnsi="Berlin Sans FB Demi"/>
          <w:b/>
          <w:bCs/>
          <w:sz w:val="24"/>
          <w:szCs w:val="24"/>
          <w:lang w:eastAsia="it-IT"/>
        </w:rPr>
      </w:pPr>
      <w:r w:rsidRPr="007F1D5C">
        <w:rPr>
          <w:rFonts w:ascii="Berlin Sans FB Demi" w:eastAsia="Times New Roman" w:hAnsi="Berlin Sans FB Demi"/>
          <w:b/>
          <w:bCs/>
          <w:sz w:val="24"/>
          <w:szCs w:val="24"/>
          <w:lang w:eastAsia="it-IT"/>
        </w:rPr>
        <w:t>DPCM</w:t>
      </w:r>
      <w:r w:rsidR="007F1D5C">
        <w:rPr>
          <w:rFonts w:ascii="Berlin Sans FB Demi" w:eastAsia="Times New Roman" w:hAnsi="Berlin Sans FB Demi"/>
          <w:b/>
          <w:bCs/>
          <w:sz w:val="24"/>
          <w:szCs w:val="24"/>
          <w:lang w:eastAsia="it-IT"/>
        </w:rPr>
        <w:t xml:space="preserve"> </w:t>
      </w:r>
      <w:r w:rsidRPr="00526501">
        <w:rPr>
          <w:rFonts w:ascii="Berlin Sans FB Demi" w:eastAsia="Times New Roman" w:hAnsi="Berlin Sans FB Demi"/>
          <w:b/>
          <w:bCs/>
          <w:sz w:val="24"/>
          <w:szCs w:val="24"/>
          <w:bdr w:val="none" w:sz="0" w:space="0" w:color="auto" w:frame="1"/>
          <w:lang w:eastAsia="it-IT"/>
        </w:rPr>
        <w:t>12 agosto 2021, n. 148</w:t>
      </w:r>
    </w:p>
    <w:p w:rsidR="00526501" w:rsidRPr="007F1D5C" w:rsidRDefault="00526501" w:rsidP="007F1D5C">
      <w:pPr>
        <w:shd w:val="clear" w:color="auto" w:fill="FFFFFF"/>
        <w:outlineLvl w:val="2"/>
        <w:rPr>
          <w:rFonts w:ascii="Berlin Sans FB Demi" w:eastAsia="Times New Roman" w:hAnsi="Berlin Sans FB Demi"/>
          <w:sz w:val="24"/>
          <w:szCs w:val="24"/>
          <w:bdr w:val="none" w:sz="0" w:space="0" w:color="auto" w:frame="1"/>
          <w:lang w:eastAsia="it-IT"/>
        </w:rPr>
      </w:pPr>
    </w:p>
    <w:p w:rsidR="00526501" w:rsidRPr="007F1D5C" w:rsidRDefault="00526501" w:rsidP="007F1D5C">
      <w:pPr>
        <w:shd w:val="clear" w:color="auto" w:fill="FFFFFF"/>
        <w:jc w:val="center"/>
        <w:outlineLvl w:val="2"/>
        <w:rPr>
          <w:rFonts w:eastAsia="Times New Roman"/>
          <w:bdr w:val="none" w:sz="0" w:space="0" w:color="auto" w:frame="1"/>
          <w:lang w:eastAsia="it-IT"/>
        </w:rPr>
      </w:pPr>
      <w:r w:rsidRPr="00526501">
        <w:rPr>
          <w:rFonts w:ascii="Berlin Sans FB Demi" w:eastAsia="Times New Roman" w:hAnsi="Berlin Sans FB Demi"/>
          <w:sz w:val="24"/>
          <w:szCs w:val="24"/>
          <w:bdr w:val="none" w:sz="0" w:space="0" w:color="auto" w:frame="1"/>
          <w:lang w:eastAsia="it-IT"/>
        </w:rPr>
        <w:t>Regolamento recante modalit</w:t>
      </w:r>
      <w:r w:rsidR="007F1D5C">
        <w:rPr>
          <w:rFonts w:ascii="Berlin Sans FB Demi" w:eastAsia="Times New Roman" w:hAnsi="Berlin Sans FB Demi"/>
          <w:sz w:val="24"/>
          <w:szCs w:val="24"/>
          <w:bdr w:val="none" w:sz="0" w:space="0" w:color="auto" w:frame="1"/>
          <w:lang w:eastAsia="it-IT"/>
        </w:rPr>
        <w:t>à</w:t>
      </w:r>
      <w:r w:rsidRPr="00526501">
        <w:rPr>
          <w:rFonts w:ascii="Berlin Sans FB Demi" w:eastAsia="Times New Roman" w:hAnsi="Berlin Sans FB Demi"/>
          <w:sz w:val="24"/>
          <w:szCs w:val="24"/>
          <w:bdr w:val="none" w:sz="0" w:space="0" w:color="auto" w:frame="1"/>
          <w:lang w:eastAsia="it-IT"/>
        </w:rPr>
        <w:t xml:space="preserve"> di digitalizzazione delle procedure dei contratti pubblici, da adottare ai sensi dell'articolo 44 del decreto legislativo 18 aprile 2016, n. 50.</w:t>
      </w:r>
    </w:p>
    <w:p w:rsidR="00526501" w:rsidRPr="00526501" w:rsidRDefault="00AB6061" w:rsidP="007F1D5C">
      <w:pPr>
        <w:shd w:val="clear" w:color="auto" w:fill="FFFFFF"/>
        <w:jc w:val="center"/>
        <w:outlineLvl w:val="2"/>
        <w:rPr>
          <w:rFonts w:eastAsia="Times New Roman"/>
          <w:lang w:eastAsia="it-IT"/>
        </w:rPr>
      </w:pPr>
      <w:hyperlink r:id="rId6" w:tgtFrame="_blank" w:history="1">
        <w:r w:rsidR="00526501" w:rsidRPr="007F1D5C">
          <w:rPr>
            <w:rFonts w:eastAsia="Times New Roman"/>
            <w:lang w:eastAsia="it-IT"/>
          </w:rPr>
          <w:t>(</w:t>
        </w:r>
        <w:proofErr w:type="spellStart"/>
        <w:r w:rsidR="00526501" w:rsidRPr="007F1D5C">
          <w:rPr>
            <w:rFonts w:eastAsia="Times New Roman"/>
            <w:lang w:eastAsia="it-IT"/>
          </w:rPr>
          <w:t>GU</w:t>
        </w:r>
        <w:proofErr w:type="spellEnd"/>
        <w:r w:rsidR="00526501" w:rsidRPr="007F1D5C">
          <w:rPr>
            <w:rFonts w:eastAsia="Times New Roman"/>
            <w:lang w:eastAsia="it-IT"/>
          </w:rPr>
          <w:t xml:space="preserve"> Serie Generale n. 256 del 26-10-2021)</w:t>
        </w:r>
      </w:hyperlink>
    </w:p>
    <w:p w:rsidR="00526501" w:rsidRPr="007F1D5C" w:rsidRDefault="00526501" w:rsidP="007F1D5C">
      <w:pPr>
        <w:shd w:val="clear" w:color="auto" w:fill="FFFFFF"/>
        <w:outlineLvl w:val="3"/>
        <w:rPr>
          <w:rFonts w:eastAsia="Times New Roman"/>
          <w:lang w:eastAsia="it-IT"/>
        </w:rPr>
      </w:pPr>
    </w:p>
    <w:p w:rsidR="00526501" w:rsidRPr="00526501" w:rsidRDefault="00526501" w:rsidP="007F1D5C">
      <w:pPr>
        <w:shd w:val="clear" w:color="auto" w:fill="FFFFFF"/>
        <w:jc w:val="center"/>
        <w:outlineLvl w:val="3"/>
        <w:rPr>
          <w:rFonts w:eastAsia="Times New Roman"/>
          <w:u w:val="single"/>
          <w:lang w:eastAsia="it-IT"/>
        </w:rPr>
      </w:pPr>
      <w:r w:rsidRPr="007F1D5C">
        <w:rPr>
          <w:rFonts w:eastAsia="Times New Roman"/>
          <w:u w:val="single"/>
          <w:lang w:eastAsia="it-IT"/>
        </w:rPr>
        <w:t>in vigore dal 10/11/2021</w:t>
      </w:r>
    </w:p>
    <w:p w:rsidR="00FF7D0C" w:rsidRPr="007F1D5C" w:rsidRDefault="00FF7D0C" w:rsidP="007F1D5C"/>
    <w:p w:rsidR="00B416A8" w:rsidRDefault="00B416A8">
      <w:pPr>
        <w:rPr>
          <w:rFonts w:eastAsia="Times New Roman"/>
          <w:lang w:eastAsia="it-IT"/>
        </w:rPr>
      </w:pPr>
    </w:p>
    <w:p w:rsidR="00B416A8" w:rsidRPr="00B416A8" w:rsidRDefault="00B416A8" w:rsidP="00B416A8">
      <w:pPr>
        <w:jc w:val="center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I N D I C E</w:t>
      </w:r>
    </w:p>
    <w:p w:rsidR="00B416A8" w:rsidRDefault="00B416A8">
      <w:pPr>
        <w:rPr>
          <w:rFonts w:eastAsia="Times New Roman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B416A8" w:rsidRP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B416A8" w:rsidRDefault="00B416A8" w:rsidP="00B416A8">
            <w:pPr>
              <w:jc w:val="center"/>
              <w:rPr>
                <w:rFonts w:eastAsia="Times New Roman"/>
                <w:b/>
                <w:lang w:eastAsia="it-IT"/>
              </w:rPr>
            </w:pPr>
            <w:r w:rsidRPr="00B416A8">
              <w:rPr>
                <w:rFonts w:eastAsia="Times New Roman"/>
                <w:b/>
                <w:lang w:eastAsia="it-IT"/>
              </w:rPr>
              <w:t>art.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B416A8" w:rsidRDefault="00B416A8" w:rsidP="00B416A8">
            <w:pPr>
              <w:jc w:val="center"/>
              <w:rPr>
                <w:rFonts w:eastAsia="Times New Roman"/>
                <w:b/>
                <w:lang w:eastAsia="it-IT"/>
              </w:rPr>
            </w:pPr>
            <w:r w:rsidRPr="00B416A8">
              <w:rPr>
                <w:rFonts w:eastAsia="Times New Roman"/>
                <w:b/>
                <w:lang w:eastAsia="it-IT"/>
              </w:rPr>
              <w:t>rubrica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1F4964">
            <w:pPr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Definizioni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1F4964">
            <w:pPr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Oggetto e ambito di applicazione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3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 w:rsidP="001F4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Accesso digitale al sistema telematico e caratterizzazione dei profili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4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Comunicazioni e scambi di informazioni in modalità digitale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5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Allineamento temporale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6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Tracciabilità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7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Gestione digitale e conservazione della documentazione di gara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8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Accesso agli atti di gara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9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Sicurezza informatica e protezione dei dati personali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10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 xml:space="preserve">Continuità operativa e </w:t>
            </w:r>
            <w:proofErr w:type="spellStart"/>
            <w:r w:rsidRPr="00E0233A">
              <w:rPr>
                <w:rFonts w:eastAsia="Times New Roman"/>
                <w:lang w:eastAsia="it-IT"/>
              </w:rPr>
              <w:t>disaster</w:t>
            </w:r>
            <w:proofErr w:type="spellEnd"/>
            <w:r w:rsidRPr="00E0233A">
              <w:rPr>
                <w:rFonts w:eastAsia="Times New Roman"/>
                <w:lang w:eastAsia="it-IT"/>
              </w:rPr>
              <w:t xml:space="preserve"> </w:t>
            </w:r>
            <w:proofErr w:type="spellStart"/>
            <w:r w:rsidRPr="00E0233A">
              <w:rPr>
                <w:rFonts w:eastAsia="Times New Roman"/>
                <w:lang w:eastAsia="it-IT"/>
              </w:rPr>
              <w:t>recovery</w:t>
            </w:r>
            <w:proofErr w:type="spellEnd"/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11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Pagamenti telematici</w:t>
            </w:r>
          </w:p>
        </w:tc>
      </w:tr>
      <w:tr w:rsidR="001F4964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F4964" w:rsidRDefault="001F4964" w:rsidP="00B416A8">
            <w:pPr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F4964" w:rsidRPr="00E0233A" w:rsidRDefault="001F4964" w:rsidP="001F4964">
            <w:pPr>
              <w:jc w:val="center"/>
              <w:textAlignment w:val="baseline"/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 xml:space="preserve">Capo </w:t>
            </w:r>
            <w:proofErr w:type="spellStart"/>
            <w:r w:rsidRPr="00E0233A">
              <w:rPr>
                <w:rFonts w:eastAsia="Times New Roman"/>
                <w:lang w:eastAsia="it-IT"/>
              </w:rPr>
              <w:t>II</w:t>
            </w:r>
            <w:proofErr w:type="spellEnd"/>
            <w:r w:rsidRPr="00E0233A">
              <w:rPr>
                <w:rFonts w:eastAsia="Times New Roman"/>
                <w:bdr w:val="none" w:sz="0" w:space="0" w:color="auto" w:frame="1"/>
                <w:lang w:eastAsia="it-IT"/>
              </w:rPr>
              <w:br/>
            </w:r>
            <w:r w:rsidRPr="00E0233A">
              <w:rPr>
                <w:rFonts w:eastAsia="Times New Roman"/>
                <w:lang w:eastAsia="it-IT"/>
              </w:rPr>
              <w:t>Gestione digitale delle procedure di acquisto e di negoziazione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12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Acquisizione del codice identificativo della gara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13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Determina a contrarre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14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Redazione e pubblicazione del bando e degli atti di gara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15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Partecipazione alla procedura di gara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16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Commissione giudicatrice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17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Modalità telematica di svolgimento dell'attività della commissione giudicatrice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18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Sedute pubbliche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19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Apertura e verifica della documentazione amministrativa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20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Verifica dei requisiti di partecipazione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21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Apertura e valutazione delle offerte tecniche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22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Apertura e valutazione delle offerte economiche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23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Valutazione delle eventuali offerte anormalmente basse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24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Formazione della graduatoria di gara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25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Aggiudicazione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26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Avvisi successivi all'aggiudicazione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27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Acquisizione del contratto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28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Migliori pratiche</w:t>
            </w:r>
          </w:p>
        </w:tc>
      </w:tr>
      <w:tr w:rsidR="001F4964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F4964" w:rsidRDefault="001F4964" w:rsidP="00B416A8">
            <w:pPr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F4964" w:rsidRPr="00E0233A" w:rsidRDefault="001F4964" w:rsidP="001F4964">
            <w:pPr>
              <w:jc w:val="center"/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 xml:space="preserve">Capo </w:t>
            </w:r>
            <w:proofErr w:type="spellStart"/>
            <w:r w:rsidRPr="00E0233A">
              <w:rPr>
                <w:rFonts w:eastAsia="Times New Roman"/>
                <w:lang w:eastAsia="it-IT"/>
              </w:rPr>
              <w:t>III</w:t>
            </w:r>
            <w:proofErr w:type="spellEnd"/>
            <w:r w:rsidRPr="00E0233A">
              <w:rPr>
                <w:rFonts w:eastAsia="Times New Roman"/>
                <w:bdr w:val="none" w:sz="0" w:space="0" w:color="auto" w:frame="1"/>
                <w:lang w:eastAsia="it-IT"/>
              </w:rPr>
              <w:br/>
            </w:r>
            <w:r w:rsidRPr="00E0233A">
              <w:rPr>
                <w:rFonts w:eastAsia="Times New Roman"/>
                <w:lang w:eastAsia="it-IT"/>
              </w:rPr>
              <w:t>Disposizioni finali</w:t>
            </w:r>
          </w:p>
        </w:tc>
      </w:tr>
      <w:tr w:rsidR="00B416A8" w:rsidTr="00B416A8">
        <w:tc>
          <w:tcPr>
            <w:tcW w:w="8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Default="00B416A8" w:rsidP="00B416A8">
            <w:pPr>
              <w:jc w:val="center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29</w:t>
            </w:r>
          </w:p>
        </w:tc>
        <w:tc>
          <w:tcPr>
            <w:tcW w:w="896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416A8" w:rsidRPr="00E0233A" w:rsidRDefault="001F4964">
            <w:pPr>
              <w:rPr>
                <w:rFonts w:eastAsia="Times New Roman"/>
                <w:lang w:eastAsia="it-IT"/>
              </w:rPr>
            </w:pPr>
            <w:r w:rsidRPr="00E0233A">
              <w:rPr>
                <w:rFonts w:eastAsia="Times New Roman"/>
                <w:lang w:eastAsia="it-IT"/>
              </w:rPr>
              <w:t>Disposizioni finali</w:t>
            </w:r>
          </w:p>
        </w:tc>
      </w:tr>
    </w:tbl>
    <w:p w:rsidR="00B416A8" w:rsidRDefault="00B416A8">
      <w:pPr>
        <w:rPr>
          <w:rFonts w:eastAsia="Times New Roman"/>
          <w:lang w:eastAsia="it-IT"/>
        </w:rPr>
      </w:pPr>
    </w:p>
    <w:p w:rsidR="00B416A8" w:rsidRDefault="00B416A8">
      <w:pPr>
        <w:rPr>
          <w:rFonts w:eastAsia="Times New Roman"/>
          <w:lang w:eastAsia="it-IT"/>
        </w:rPr>
      </w:pPr>
    </w:p>
    <w:p w:rsidR="00B416A8" w:rsidRDefault="00B416A8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br w:type="page"/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lastRenderedPageBreak/>
        <w:t>IL MINISTRO PER LA PUBBLICA AMMINISTRAZIONE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>di concerto con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>IL MINISTRO DELLE INFRASTRUTTURE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 DELLA MOBILIT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SOSTENIBILI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>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>IL MINISTRO DELL'ECONOMIA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 DELLE FINANZE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Visto l'articolo 17, comma 3, della legge 23 agosto 1988, n. 400;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 legislativo 18 aprile 2016, n. 50, recante «Codice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dei contratti pubblici» e, in particolare, gli articoli 44 e 58;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direttiva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2014/23/UE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Parlamento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europeo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Consiglio, del 26 febbraio 2014, sull'aggiudicazione dei contratti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concessione;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direttiva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2014/24/UE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Parlamento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europeo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Consiglio, del 26 febbraio 2014, sugli appalti pubblici e 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abroga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la direttiva 2004/18/CE; </w:t>
      </w:r>
    </w:p>
    <w:p w:rsid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direttiva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2014/25/UE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Parlamento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europeo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Consiglio, del 26 febbraio 2014, sulle procedure d'appalto degli 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erogatori nei settori dell'acqua, dell'energia, dei trasporti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servizi postali e che abroga la direttiva 2004/17/CE;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regolamento (UE) n. 910/2014 del Parlamento europeo 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23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luglio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2014,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materia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identificazione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elettronica e servizi fiduciari per le transazioni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elettroniche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mercato interno e che abroga la direttiva 1999/93/CE;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regolamento (UE) 2016/679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Parlamento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europeo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Consiglio, del 27 aprile 2016, relativo alla protezione delle persone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fisiche con riguardo al trattamento dei dati personali, nonch</w:t>
      </w:r>
      <w:r>
        <w:rPr>
          <w:rFonts w:eastAsia="Times New Roman"/>
          <w:lang w:eastAsia="it-IT"/>
        </w:rPr>
        <w:t xml:space="preserve">é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libera circolazione di tali dati e che abroga 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direttiva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95/46/CE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(regolamento generale sulla protezione dei dati);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legislativo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30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giugno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2003,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196,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«Codice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materia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protezione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personali,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>disposizioni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l'adeguamento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dell'ordinamento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nazionale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regolamento (UE) n. 2016/679 del Parlamento europeo e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 27 aprile 2016, relativo alla protezione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persone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fisiche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 riguardo al trattamento dei dati personali, nonch</w:t>
      </w:r>
      <w:r>
        <w:rPr>
          <w:rFonts w:eastAsia="Times New Roman"/>
          <w:lang w:eastAsia="it-IT"/>
        </w:rPr>
        <w:t xml:space="preserve">é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libera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circolazione di tali dati e che abroga la direttiva 95/46/CE»;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Vista la legge 9 gennaio 2004,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«Disposizioni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favorire l'accesso dei soggetti disabili agli strumenti informatici»;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 legislativo 7 marzo 2005, n. 82,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«Codice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dell'amministrazione digitale»;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legislativo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10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agosto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2018,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101,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«Disposizioni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l'adeguamento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normativa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nazionale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disposizioni del regolamento (UE) 2016/679 del Parlamento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europeo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 Consiglio, del 27 aprile 2016,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protezione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persone fisiche 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riguardo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trattamento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personali,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nonch</w:t>
      </w:r>
      <w:r>
        <w:rPr>
          <w:rFonts w:eastAsia="Times New Roman"/>
          <w:lang w:eastAsia="it-IT"/>
        </w:rPr>
        <w:t>é</w:t>
      </w:r>
      <w:r w:rsidRPr="007F1D5C">
        <w:rPr>
          <w:rFonts w:eastAsia="Times New Roman"/>
          <w:lang w:eastAsia="it-IT"/>
        </w:rPr>
        <w:t xml:space="preserve"> alla libera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circolazione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tali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abroga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direttiva 95/46/CE (regolamento generale sulla protezione dei dati)»;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decreto-legge 18 aprile 2019, n. 32, recante «Disposizioni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urgenti per il rilancio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settore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contratti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l'accelerazione degli interventi infrastrutturali,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rigenerazione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urbana e di ricostruzione a seguito di eventi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sismici»,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convertito,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con modificazioni dalla legge del 14 giugno 2019, n. 55;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decreto-legge 31 maggio 2021, n.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77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«Governance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 Piano nazionale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ripresa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resilienza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prime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misure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rafforzamento delle strutture amministrative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accelerazione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snellimento delle procedure»;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 del Ministro dell'industria e dell'artigianato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30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novembre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1993,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591,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«Regolamento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concernente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determinazione dei campioni nazionali di talune unit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di misura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 internazionale (SI) in attuazione dell'articolo 3 della legge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11 agosto 1991, n. 273»;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 del Ministro 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l'innovazione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tecnologie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dell'8 luglio 2005, recante «Requisiti tecnici 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diversi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livelli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 l'accessibilit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agli strumenti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informatici»,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Gazzetta Ufficiale n. 183 dell'8 agosto 2005»;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 il decreto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Presidente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ministri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10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agosto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2016,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disciplina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composizione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modalit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funzionamento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Cabina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all'articolo 212, comma 1, del decreto legislativo n.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50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2016,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pubblicato nella Gazzetta Ufficiale n. 203 del 31 agosto 2016;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piano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triennale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l'informatica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amministrazione 2020 - 2022, approvato con decreto del Presidente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Consiglio dei ministri 17 luglio 2020;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Considerata la strategia per la riforma del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pubblici, approvata nel dicembre 2015 dal Comitato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interministeriale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 gli affari europei (</w:t>
      </w:r>
      <w:proofErr w:type="spellStart"/>
      <w:r w:rsidRPr="007F1D5C">
        <w:rPr>
          <w:rFonts w:eastAsia="Times New Roman"/>
          <w:lang w:eastAsia="it-IT"/>
        </w:rPr>
        <w:t>CIAE</w:t>
      </w:r>
      <w:proofErr w:type="spellEnd"/>
      <w:r w:rsidRPr="007F1D5C">
        <w:rPr>
          <w:rFonts w:eastAsia="Times New Roman"/>
          <w:lang w:eastAsia="it-IT"/>
        </w:rPr>
        <w:t>) e inserita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Piano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d'azione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condizionalit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ex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«Appalti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pubblici»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allegato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all'Accordo di partenariato italiano 2014/2020 - 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particolare,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l'azione in esso prevista riguardante la necessit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di assegnare a un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Forum nazionale dell'</w:t>
      </w:r>
      <w:proofErr w:type="spellStart"/>
      <w:r w:rsidRPr="007F1D5C">
        <w:rPr>
          <w:rFonts w:eastAsia="Times New Roman"/>
          <w:lang w:eastAsia="it-IT"/>
        </w:rPr>
        <w:t>e-procurement</w:t>
      </w:r>
      <w:proofErr w:type="spellEnd"/>
      <w:r w:rsidRPr="007F1D5C">
        <w:rPr>
          <w:rFonts w:eastAsia="Times New Roman"/>
          <w:lang w:eastAsia="it-IT"/>
        </w:rPr>
        <w:t xml:space="preserve"> compiti di consultazione, proposta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 monitoraggio - e garantire il coordinamento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struttura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governance dedicata all'</w:t>
      </w:r>
      <w:proofErr w:type="spellStart"/>
      <w:r w:rsidRPr="007F1D5C">
        <w:rPr>
          <w:rFonts w:eastAsia="Times New Roman"/>
          <w:lang w:eastAsia="it-IT"/>
        </w:rPr>
        <w:t>e-procurement</w:t>
      </w:r>
      <w:proofErr w:type="spellEnd"/>
      <w:r w:rsidRPr="007F1D5C">
        <w:rPr>
          <w:rFonts w:eastAsia="Times New Roman"/>
          <w:lang w:eastAsia="it-IT"/>
        </w:rPr>
        <w:t xml:space="preserve">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Considerato 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comunicazione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179/2016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Parlamento europeo, al Consiglio, 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comitato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sociale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europeo e 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Comitato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regioni,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Piano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d'azione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dell'UE per l'</w:t>
      </w:r>
      <w:proofErr w:type="spellStart"/>
      <w:r w:rsidRPr="007F1D5C">
        <w:rPr>
          <w:rFonts w:eastAsia="Times New Roman"/>
          <w:lang w:eastAsia="it-IT"/>
        </w:rPr>
        <w:t>e-Government</w:t>
      </w:r>
      <w:proofErr w:type="spellEnd"/>
      <w:r w:rsidRPr="007F1D5C">
        <w:rPr>
          <w:rFonts w:eastAsia="Times New Roman"/>
          <w:lang w:eastAsia="it-IT"/>
        </w:rPr>
        <w:t xml:space="preserve"> 2016-2020, che ha introdotto 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principio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di base del «once </w:t>
      </w:r>
      <w:proofErr w:type="spellStart"/>
      <w:r w:rsidRPr="007F1D5C">
        <w:rPr>
          <w:rFonts w:eastAsia="Times New Roman"/>
          <w:lang w:eastAsia="it-IT"/>
        </w:rPr>
        <w:t>only</w:t>
      </w:r>
      <w:proofErr w:type="spellEnd"/>
      <w:r w:rsidRPr="007F1D5C">
        <w:rPr>
          <w:rFonts w:eastAsia="Times New Roman"/>
          <w:lang w:eastAsia="it-IT"/>
        </w:rPr>
        <w:t xml:space="preserve">»;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Acquisito il parere dell'Agenzia per l'Italia Digitale;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lastRenderedPageBreak/>
        <w:t xml:space="preserve"> </w:t>
      </w:r>
      <w:r w:rsidRPr="007F1D5C">
        <w:rPr>
          <w:rFonts w:eastAsia="Times New Roman"/>
          <w:lang w:eastAsia="it-IT"/>
        </w:rPr>
        <w:t>Acquisito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parere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protezione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personali;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Visti i concerti espressi dal Ministro delle infrastrutture e 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sostenibili e dal Ministro dell'economia e delle finanze;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parere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favorevole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Ministro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l'innovazione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tecnologica e la transizione digitale;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Udito il parere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espresso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consultiva per gli atti normativi nell'adunanza del 26 novembre 2020;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Vista la comunicazione al Presidente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ministri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effettuata a norma dell'articolo 17, comma 3, della legge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23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agosto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1988, n. 400;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>Adotta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>il seguente regolamento:</w:t>
      </w: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1F4964" w:rsidRDefault="001F496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Art. 1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Definizioni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Ai fini del presente regolamento si applicano le definizioni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 all'articolo 3, comma 1, del decreto legislativo 18 aprile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2016,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n. 50, recante codice dei contratti pubblici, di seguito «codice». Ai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fini del presente regolamento si intende per: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CAD</w:t>
      </w:r>
      <w:r w:rsidRPr="00F72C22">
        <w:rPr>
          <w:rFonts w:eastAsia="Times New Roman"/>
          <w:lang w:eastAsia="it-IT"/>
        </w:rPr>
        <w:t>: il Codice dell'amministrazione digitale, di cui al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decreto legislativo 7 marzo 2005, n. 82;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lang w:eastAsia="it-IT"/>
        </w:rPr>
        <w:t xml:space="preserve">regolamento </w:t>
      </w:r>
      <w:proofErr w:type="spellStart"/>
      <w:r w:rsidRPr="00F72C22">
        <w:rPr>
          <w:rFonts w:eastAsia="Times New Roman"/>
          <w:lang w:eastAsia="it-IT"/>
        </w:rPr>
        <w:t>eIDAS</w:t>
      </w:r>
      <w:proofErr w:type="spellEnd"/>
      <w:r w:rsidRPr="00F72C22">
        <w:rPr>
          <w:rFonts w:eastAsia="Times New Roman"/>
          <w:lang w:eastAsia="it-IT"/>
        </w:rPr>
        <w:t>: il regolamento (UE) n. 910/2014 del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Parlamento europeo e del Consiglio, del 23 luglio 2014, in materia di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identificazione elettronica e servizi fiduciari per le transazioni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elettroniche nel mercato interno;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Banca dati nazionale dei contratti pubblici</w:t>
      </w:r>
      <w:r w:rsidRPr="00F72C22">
        <w:rPr>
          <w:rFonts w:eastAsia="Times New Roman"/>
          <w:lang w:eastAsia="it-IT"/>
        </w:rPr>
        <w:t xml:space="preserve"> (</w:t>
      </w:r>
      <w:proofErr w:type="spellStart"/>
      <w:r w:rsidRPr="00F72C22">
        <w:rPr>
          <w:rFonts w:eastAsia="Times New Roman"/>
          <w:u w:val="single"/>
          <w:lang w:eastAsia="it-IT"/>
        </w:rPr>
        <w:t>BDNCP</w:t>
      </w:r>
      <w:proofErr w:type="spellEnd"/>
      <w:r w:rsidRPr="00F72C22">
        <w:rPr>
          <w:rFonts w:eastAsia="Times New Roman"/>
          <w:lang w:eastAsia="it-IT"/>
        </w:rPr>
        <w:t>): la Banca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Dati Nazionale gestita dall'Autorità Nazionale Anticorruzione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(ANAC), di cui all'articolo 213 del codice, nella quale confluiscono,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oltre alle informazioni acquisite dalla stessa Autorità tramite i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propri sistemi informatizzati, tutte le informazioni contenute nelle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banche dati esistenti, anche a livello territoriale, onde garantire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accessibilità unificata, trasparenza, pubblicità e tracciabilità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delle procedure di gara e delle fasi a essa prodromiche e successive;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sistema telematico</w:t>
      </w:r>
      <w:r w:rsidRPr="00F72C22">
        <w:rPr>
          <w:rFonts w:eastAsia="Times New Roman"/>
          <w:lang w:eastAsia="it-IT"/>
        </w:rPr>
        <w:t>: il sistema costituito da soluzioni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informatiche e di telecomunicazione che consentono lo svolgimento in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modalità telematica delle procedure di affidamento disciplinate dal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codice;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utente</w:t>
      </w:r>
      <w:r w:rsidRPr="00F72C22">
        <w:rPr>
          <w:rFonts w:eastAsia="Times New Roman"/>
          <w:lang w:eastAsia="it-IT"/>
        </w:rPr>
        <w:t>: persona fisica, che agisce per sé o per un soggetto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giuridico pubblico o privato, autorizzata dal responsabile del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sistema telematico all'accesso e all'utilizzo del sistema telematico,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identificata e autenticata secondo quanto previsto dal presente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regolamento e dalle regole tecniche di cui all'articolo 2, comma 2;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gestore del sistema telematico</w:t>
      </w:r>
      <w:r w:rsidRPr="00F72C22">
        <w:rPr>
          <w:rFonts w:eastAsia="Times New Roman"/>
          <w:lang w:eastAsia="it-IT"/>
        </w:rPr>
        <w:t>: soggetto pubblico o privato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che garantisce il corretto funzionamento e la sicurezza del sistema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telematico, individuato con le procedure di affidamento disciplinate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dal codice;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responsabile del sistema telematico</w:t>
      </w:r>
      <w:r w:rsidRPr="00F72C22">
        <w:rPr>
          <w:rFonts w:eastAsia="Times New Roman"/>
          <w:lang w:eastAsia="it-IT"/>
        </w:rPr>
        <w:t>: persona individuata tra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il personale della stazione appaltante provvisto di adeguata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professionalità che si avvale del sistema telematico che assicura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l'operatività del sistema medesimo, garantendone l'utilizzo da parte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dei soggetti autenticati, in ragione delle regole di utilizzo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definite dalla stazione appaltante;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sistema di ripristino (</w:t>
      </w:r>
      <w:proofErr w:type="spellStart"/>
      <w:r w:rsidRPr="00F72C22">
        <w:rPr>
          <w:rFonts w:eastAsia="Times New Roman"/>
          <w:u w:val="single"/>
          <w:lang w:eastAsia="it-IT"/>
        </w:rPr>
        <w:t>disaster</w:t>
      </w:r>
      <w:proofErr w:type="spellEnd"/>
      <w:r w:rsidRPr="00F72C22">
        <w:rPr>
          <w:rFonts w:eastAsia="Times New Roman"/>
          <w:u w:val="single"/>
          <w:lang w:eastAsia="it-IT"/>
        </w:rPr>
        <w:t xml:space="preserve"> </w:t>
      </w:r>
      <w:proofErr w:type="spellStart"/>
      <w:r w:rsidRPr="00F72C22">
        <w:rPr>
          <w:rFonts w:eastAsia="Times New Roman"/>
          <w:u w:val="single"/>
          <w:lang w:eastAsia="it-IT"/>
        </w:rPr>
        <w:t>recovery</w:t>
      </w:r>
      <w:proofErr w:type="spellEnd"/>
      <w:r w:rsidRPr="00F72C22">
        <w:rPr>
          <w:rFonts w:eastAsia="Times New Roman"/>
          <w:u w:val="single"/>
          <w:lang w:eastAsia="it-IT"/>
        </w:rPr>
        <w:t>)</w:t>
      </w:r>
      <w:r w:rsidRPr="00F72C22">
        <w:rPr>
          <w:rFonts w:eastAsia="Times New Roman"/>
          <w:lang w:eastAsia="it-IT"/>
        </w:rPr>
        <w:t>: insieme delle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misure tecniche e organizzative adottate per assicurare il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funzionamento del sistema, delle procedure e applicazioni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informatiche, in siti alternativi a quelli primari ovvero di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produzione, a fronte di eventi che provocano o possono provocare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indisponibilità prolungate; </w:t>
      </w:r>
    </w:p>
    <w:p w:rsidR="007F1D5C" w:rsidRPr="00F72C22" w:rsidRDefault="007F1D5C" w:rsidP="00F72C22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gestione della continuità operativa</w:t>
      </w:r>
      <w:r w:rsidRPr="00F72C22">
        <w:rPr>
          <w:rFonts w:eastAsia="Times New Roman"/>
          <w:lang w:eastAsia="it-IT"/>
        </w:rPr>
        <w:t xml:space="preserve"> (</w:t>
      </w:r>
      <w:r w:rsidRPr="00F72C22">
        <w:rPr>
          <w:rFonts w:eastAsia="Times New Roman"/>
          <w:u w:val="single"/>
          <w:lang w:eastAsia="it-IT"/>
        </w:rPr>
        <w:t xml:space="preserve">Business Impact </w:t>
      </w:r>
      <w:proofErr w:type="spellStart"/>
      <w:r w:rsidRPr="00F72C22">
        <w:rPr>
          <w:rFonts w:eastAsia="Times New Roman"/>
          <w:u w:val="single"/>
          <w:lang w:eastAsia="it-IT"/>
        </w:rPr>
        <w:t>Analysis</w:t>
      </w:r>
      <w:proofErr w:type="spellEnd"/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- </w:t>
      </w:r>
      <w:r w:rsidR="00F72C22" w:rsidRPr="00F72C22">
        <w:rPr>
          <w:rFonts w:eastAsia="Times New Roman"/>
          <w:lang w:eastAsia="it-IT"/>
        </w:rPr>
        <w:t>s</w:t>
      </w:r>
      <w:r w:rsidRPr="00F72C22">
        <w:rPr>
          <w:rFonts w:eastAsia="Times New Roman"/>
          <w:lang w:eastAsia="it-IT"/>
        </w:rPr>
        <w:t>): metodologia utilizzata per determinare le conseguenze di un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evento e per valutarne l'impatto sull'operatività del sistema o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dell'organizzazione; </w:t>
      </w:r>
    </w:p>
    <w:p w:rsidR="007F1D5C" w:rsidRPr="00F72C22" w:rsidRDefault="007F1D5C" w:rsidP="00F72C22">
      <w:pPr>
        <w:pStyle w:val="Paragrafoelenco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gestione della vulnerabilità</w:t>
      </w:r>
      <w:r w:rsidRPr="00F72C22">
        <w:rPr>
          <w:rFonts w:eastAsia="Times New Roman"/>
          <w:lang w:eastAsia="it-IT"/>
        </w:rPr>
        <w:t>: insieme delle misure tecniche 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organizzative adottate per la valutazione, la gestione e la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prevenzione di eventi indesiderati che possono comportare danni o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perdite per il sistema o per l'organizzazione; </w:t>
      </w:r>
    </w:p>
    <w:p w:rsidR="00973154" w:rsidRPr="00F72C22" w:rsidRDefault="007F1D5C" w:rsidP="00F72C22">
      <w:pPr>
        <w:pStyle w:val="Paragrafoelenco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gestione degli aggiornamenti</w:t>
      </w:r>
      <w:r w:rsidRPr="00F72C22">
        <w:rPr>
          <w:rFonts w:eastAsia="Times New Roman"/>
          <w:lang w:eastAsia="it-IT"/>
        </w:rPr>
        <w:t>: processo di acquisizione,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verifica, test e installazione degli aggiornamenti dei sistemi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operativi e delle applicazioni informatiche finalizzato a risolverne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le vulnerabilità eventualmente individuate e di mantenere la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sicurezza e l'efficienza operativa del sistema; </w:t>
      </w:r>
    </w:p>
    <w:p w:rsidR="007F1D5C" w:rsidRPr="00F72C22" w:rsidRDefault="007F1D5C" w:rsidP="00F72C22">
      <w:pPr>
        <w:pStyle w:val="Paragrafoelenco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gestione degli incidenti di sicurezza</w:t>
      </w:r>
      <w:r w:rsidRPr="00F72C22">
        <w:rPr>
          <w:rFonts w:eastAsia="Times New Roman"/>
          <w:lang w:eastAsia="it-IT"/>
        </w:rPr>
        <w:t xml:space="preserve"> (</w:t>
      </w:r>
      <w:r w:rsidRPr="00F72C22">
        <w:rPr>
          <w:rFonts w:eastAsia="Times New Roman"/>
          <w:u w:val="single"/>
          <w:lang w:eastAsia="it-IT"/>
        </w:rPr>
        <w:t xml:space="preserve">security </w:t>
      </w:r>
      <w:proofErr w:type="spellStart"/>
      <w:r w:rsidRPr="00F72C22">
        <w:rPr>
          <w:rFonts w:eastAsia="Times New Roman"/>
          <w:u w:val="single"/>
          <w:lang w:eastAsia="it-IT"/>
        </w:rPr>
        <w:t>incident</w:t>
      </w:r>
      <w:proofErr w:type="spellEnd"/>
      <w:r w:rsidR="00973154" w:rsidRPr="00F72C22">
        <w:rPr>
          <w:rFonts w:eastAsia="Times New Roman"/>
          <w:u w:val="single"/>
          <w:lang w:eastAsia="it-IT"/>
        </w:rPr>
        <w:t xml:space="preserve"> </w:t>
      </w:r>
      <w:r w:rsidRPr="00F72C22">
        <w:rPr>
          <w:rFonts w:eastAsia="Times New Roman"/>
          <w:u w:val="single"/>
          <w:lang w:eastAsia="it-IT"/>
        </w:rPr>
        <w:t>management</w:t>
      </w:r>
      <w:r w:rsidRPr="00F72C22">
        <w:rPr>
          <w:rFonts w:eastAsia="Times New Roman"/>
          <w:lang w:eastAsia="it-IT"/>
        </w:rPr>
        <w:t>): insieme delle misure tecniche e organizzative adottate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per la prevenzione e gestione degli incidenti di sicurezza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informatica; </w:t>
      </w:r>
    </w:p>
    <w:p w:rsidR="007F1D5C" w:rsidRPr="00F72C22" w:rsidRDefault="007F1D5C" w:rsidP="00F72C22">
      <w:pPr>
        <w:pStyle w:val="Paragrafoelenco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caratterizzazione</w:t>
      </w:r>
      <w:r w:rsidRPr="00F72C22">
        <w:rPr>
          <w:rFonts w:eastAsia="Times New Roman"/>
          <w:lang w:eastAsia="it-IT"/>
        </w:rPr>
        <w:t>: l'attribuzione all'utente di un profilo, da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parte del responsabile del sistema telematico, sulla base delle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informazioni fornite, al termine della procedura di identificazione,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coerente con il ruolo o la funzione svolta nella procedura a cui sono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legate specifiche autorizzazioni operative; </w:t>
      </w:r>
    </w:p>
    <w:p w:rsidR="007F1D5C" w:rsidRPr="00F72C22" w:rsidRDefault="007F1D5C" w:rsidP="00F72C22">
      <w:pPr>
        <w:pStyle w:val="Paragrafoelenco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F72C22">
        <w:rPr>
          <w:rFonts w:eastAsia="Times New Roman"/>
          <w:u w:val="single"/>
          <w:lang w:eastAsia="it-IT"/>
        </w:rPr>
        <w:t>Sistema pubblico d'identità digitale</w:t>
      </w:r>
      <w:r w:rsidRPr="00F72C22">
        <w:rPr>
          <w:rFonts w:eastAsia="Times New Roman"/>
          <w:lang w:eastAsia="it-IT"/>
        </w:rPr>
        <w:t xml:space="preserve"> (</w:t>
      </w:r>
      <w:r w:rsidRPr="00F72C22">
        <w:rPr>
          <w:rFonts w:eastAsia="Times New Roman"/>
          <w:u w:val="single"/>
          <w:lang w:eastAsia="it-IT"/>
        </w:rPr>
        <w:t>SPID</w:t>
      </w:r>
      <w:r w:rsidRPr="00F72C22">
        <w:rPr>
          <w:rFonts w:eastAsia="Times New Roman"/>
          <w:lang w:eastAsia="it-IT"/>
        </w:rPr>
        <w:t>): l'insieme aperto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di soggetti pubblici e privati di cui all'articolo 64 del CAD che,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previo accreditamento da parte dell'Agenzia per l'Italia digitale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>(</w:t>
      </w:r>
      <w:proofErr w:type="spellStart"/>
      <w:r w:rsidRPr="00F72C22">
        <w:rPr>
          <w:rFonts w:eastAsia="Times New Roman"/>
          <w:lang w:eastAsia="it-IT"/>
        </w:rPr>
        <w:t>AgID</w:t>
      </w:r>
      <w:proofErr w:type="spellEnd"/>
      <w:r w:rsidRPr="00F72C22">
        <w:rPr>
          <w:rFonts w:eastAsia="Times New Roman"/>
          <w:lang w:eastAsia="it-IT"/>
        </w:rPr>
        <w:t>), identificano gli utenti per consentire loro il compimento di</w:t>
      </w:r>
      <w:r w:rsidR="00973154" w:rsidRPr="00F72C22">
        <w:rPr>
          <w:rFonts w:eastAsia="Times New Roman"/>
          <w:lang w:eastAsia="it-IT"/>
        </w:rPr>
        <w:t xml:space="preserve"> </w:t>
      </w:r>
      <w:r w:rsidRPr="00F72C22">
        <w:rPr>
          <w:rFonts w:eastAsia="Times New Roman"/>
          <w:lang w:eastAsia="it-IT"/>
        </w:rPr>
        <w:t xml:space="preserve">attività e l'accesso ai servizi in rete. </w:t>
      </w: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1F4964" w:rsidRDefault="001F496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lastRenderedPageBreak/>
        <w:t>Art. 2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Oggetto e ambito di applicazione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presente regolamento, in attuazione dell'articolo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44,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1, del codice,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definisce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modalit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digitalizzazione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procedure di affidamento disciplinate dal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codice,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attraverso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l'interconnessione per l'interoperabilit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dei dati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pubbliche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amministrazioni, ivi compreso il colloquio e la condivisione dei dati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 i sistemi telematici e tra i medesimi sistemi e gli organismi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vigilanza e controllo previsti dal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codice,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rispetto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quanto previsto dal Piano triennale per l'informatica 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pubblica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amministrazione, adottato ai sensi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14-bis,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2,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lettera b), del CAD.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regole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definizione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modalit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digitalizzazione di cui al comma 1, comprensive della descrizione dei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flussi,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schemi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standard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europei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interoperabilit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tra i sistemi telematici e tra i medesimi sistemi 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gli organismi di vigilanza 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controllo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previsti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codice,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sono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dettate dall'Agenzia per l'Italia digitale (</w:t>
      </w:r>
      <w:proofErr w:type="spellStart"/>
      <w:r w:rsidRPr="007F1D5C">
        <w:rPr>
          <w:rFonts w:eastAsia="Times New Roman"/>
          <w:lang w:eastAsia="it-IT"/>
        </w:rPr>
        <w:t>AgID</w:t>
      </w:r>
      <w:proofErr w:type="spellEnd"/>
      <w:r w:rsidRPr="007F1D5C">
        <w:rPr>
          <w:rFonts w:eastAsia="Times New Roman"/>
          <w:lang w:eastAsia="it-IT"/>
        </w:rPr>
        <w:t xml:space="preserve">) con </w:t>
      </w:r>
      <w:r w:rsidRPr="00F72C22">
        <w:rPr>
          <w:rFonts w:eastAsia="Times New Roman"/>
          <w:u w:val="single"/>
          <w:lang w:eastAsia="it-IT"/>
        </w:rPr>
        <w:t>apposite linee</w:t>
      </w:r>
      <w:r w:rsidR="00973154" w:rsidRPr="00F72C22">
        <w:rPr>
          <w:rFonts w:eastAsia="Times New Roman"/>
          <w:u w:val="single"/>
          <w:lang w:eastAsia="it-IT"/>
        </w:rPr>
        <w:t xml:space="preserve"> </w:t>
      </w:r>
      <w:r w:rsidRPr="00F72C22">
        <w:rPr>
          <w:rFonts w:eastAsia="Times New Roman"/>
          <w:u w:val="single"/>
          <w:lang w:eastAsia="it-IT"/>
        </w:rPr>
        <w:t>guida</w:t>
      </w:r>
      <w:r w:rsidRPr="007F1D5C">
        <w:rPr>
          <w:rFonts w:eastAsia="Times New Roman"/>
          <w:lang w:eastAsia="it-IT"/>
        </w:rPr>
        <w:t>, ai sensi dell'articolo 71 del CAD, tenendo conto 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regole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e dei principi di cui all'articolo 29 del codice. </w:t>
      </w: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Art. 3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Accesso digitale al sistema telematico</w:t>
      </w:r>
      <w:r w:rsidR="00973154">
        <w:rPr>
          <w:rFonts w:ascii="Berlin Sans FB Demi" w:eastAsia="Times New Roman" w:hAnsi="Berlin Sans FB Demi"/>
          <w:lang w:eastAsia="it-IT"/>
        </w:rPr>
        <w:t xml:space="preserve"> </w:t>
      </w:r>
      <w:r w:rsidRPr="007F1D5C">
        <w:rPr>
          <w:rFonts w:ascii="Berlin Sans FB Demi" w:eastAsia="Times New Roman" w:hAnsi="Berlin Sans FB Demi"/>
          <w:lang w:eastAsia="it-IT"/>
        </w:rPr>
        <w:t>e caratterizzazione dei profili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L'accesso al sistema telematico da parte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utenti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avviene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esclusivamente mediante una procedura di autorizzazione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prevede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l'identificazione dell'utente medesimo e il rilascio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apposito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codice alfanumerico.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Ai fini dell'accesso 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l'identificazione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avviene mediante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SPID,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secondo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quanto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previsto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decreto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Presidente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Consiglio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ministri,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adottato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sensi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dell'articolo 64, comma 2-sexies,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CAD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attraverso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altri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mezzi di identificazione elettronica per il riconoscimento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reciproco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transfrontaliero ai sensi del regolamento </w:t>
      </w:r>
      <w:proofErr w:type="spellStart"/>
      <w:r w:rsidRPr="007F1D5C">
        <w:rPr>
          <w:rFonts w:eastAsia="Times New Roman"/>
          <w:lang w:eastAsia="it-IT"/>
        </w:rPr>
        <w:t>eIDAS</w:t>
      </w:r>
      <w:proofErr w:type="spellEnd"/>
      <w:r w:rsidRPr="007F1D5C">
        <w:rPr>
          <w:rFonts w:eastAsia="Times New Roman"/>
          <w:lang w:eastAsia="it-IT"/>
        </w:rPr>
        <w:t xml:space="preserve">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volta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completata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identificazione,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responsabile del sistema telematico, sulla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base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informazioni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fornite, attribuisce all'utente un profilo, coerente con 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ruolo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 funzione svolta nella procedura, in base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quanto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previsto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codice, che ne consente la caratterizzazione.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4. Ove previsto,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utenti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gestire le deleghe per ogni procedura di affidamento, mantenendone le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informazioni, secondo le regole tecniche di cui all'articolo 2, comma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2.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5. Il sistema telematico supporta i diversi livelli di sicurezza 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autenticazione informatica in relazione alla tipologia 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proprie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funzionalit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e al profilo dell'utente, secondo le modalit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definite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nelle regole tecniche di cui all'articolo 2, comma 2. </w:t>
      </w: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Art. 4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Comunicazioni e scambi di informazioni</w:t>
      </w:r>
      <w:r w:rsidR="00973154">
        <w:rPr>
          <w:rFonts w:ascii="Berlin Sans FB Demi" w:eastAsia="Times New Roman" w:hAnsi="Berlin Sans FB Demi"/>
          <w:lang w:eastAsia="it-IT"/>
        </w:rPr>
        <w:t xml:space="preserve"> </w:t>
      </w:r>
      <w:r w:rsidRPr="007F1D5C">
        <w:rPr>
          <w:rFonts w:ascii="Berlin Sans FB Demi" w:eastAsia="Times New Roman" w:hAnsi="Berlin Sans FB Demi"/>
          <w:lang w:eastAsia="it-IT"/>
        </w:rPr>
        <w:t>in modalit</w:t>
      </w:r>
      <w:r w:rsidRPr="00973154">
        <w:rPr>
          <w:rFonts w:ascii="Berlin Sans FB Demi" w:eastAsia="Times New Roman" w:hAnsi="Berlin Sans FB Demi"/>
          <w:lang w:eastAsia="it-IT"/>
        </w:rPr>
        <w:t>à</w:t>
      </w:r>
      <w:r w:rsidRPr="007F1D5C">
        <w:rPr>
          <w:rFonts w:ascii="Berlin Sans FB Demi" w:eastAsia="Times New Roman" w:hAnsi="Berlin Sans FB Demi"/>
          <w:lang w:eastAsia="it-IT"/>
        </w:rPr>
        <w:t xml:space="preserve"> digitale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Le comunicazioni e gli scambi di informazioni tra 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utenti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 sistema telematico che necessitano di una ricevuta di invio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una ricevuta di consegna, tra i quali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messaggi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avviso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notifica, avvengono utilizzando il domicilio digitale presente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negli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indici di cui 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articoli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6-bis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6-ter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CAD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gli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 economici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transfrontalieri,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attraverso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indirizzo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servizio elettronico di recapito certificato qualificato ai sensi del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regolamento </w:t>
      </w:r>
      <w:proofErr w:type="spellStart"/>
      <w:r w:rsidRPr="007F1D5C">
        <w:rPr>
          <w:rFonts w:eastAsia="Times New Roman"/>
          <w:lang w:eastAsia="it-IT"/>
        </w:rPr>
        <w:t>eIDAS</w:t>
      </w:r>
      <w:proofErr w:type="spellEnd"/>
      <w:r w:rsidRPr="007F1D5C">
        <w:rPr>
          <w:rFonts w:eastAsia="Times New Roman"/>
          <w:lang w:eastAsia="it-IT"/>
        </w:rPr>
        <w:t>, nel rispetto di quanto previsto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52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del codice.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2. Se l'utente non </w:t>
      </w:r>
      <w:r>
        <w:rPr>
          <w:rFonts w:eastAsia="Times New Roman"/>
          <w:lang w:eastAsia="it-IT"/>
        </w:rPr>
        <w:t>é</w:t>
      </w:r>
      <w:r w:rsidRPr="007F1D5C">
        <w:rPr>
          <w:rFonts w:eastAsia="Times New Roman"/>
          <w:lang w:eastAsia="it-IT"/>
        </w:rPr>
        <w:t xml:space="preserve"> presente negli indici di cui al 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 telematico consente all'utente di eleggere domicilio digitale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speciale presso il sistema stesso.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Le comunicazioni e gli scambi di informazioni diversi da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quelli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 cui al comma 1, nonch</w:t>
      </w:r>
      <w:r>
        <w:rPr>
          <w:rFonts w:eastAsia="Times New Roman"/>
          <w:lang w:eastAsia="it-IT"/>
        </w:rPr>
        <w:t>é</w:t>
      </w:r>
      <w:r w:rsidRPr="007F1D5C">
        <w:rPr>
          <w:rFonts w:eastAsia="Times New Roman"/>
          <w:lang w:eastAsia="it-IT"/>
        </w:rPr>
        <w:t xml:space="preserve"> le richieste di chiarimenti sul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bando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gara, sono accessibili in sezioni apposite del sistema telematico. In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tal caso, il sistema telematico pu</w:t>
      </w:r>
      <w:r>
        <w:rPr>
          <w:rFonts w:eastAsia="Times New Roman"/>
          <w:lang w:eastAsia="it-IT"/>
        </w:rPr>
        <w:t>ò</w:t>
      </w:r>
      <w:r w:rsidRPr="007F1D5C">
        <w:rPr>
          <w:rFonts w:eastAsia="Times New Roman"/>
          <w:lang w:eastAsia="it-IT"/>
        </w:rPr>
        <w:t xml:space="preserve"> prevedere anche la generazione 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l'invio automatico di una segnalazione agli operatori economici. </w:t>
      </w: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Art. 5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Allineamento temporale</w:t>
      </w:r>
    </w:p>
    <w:p w:rsidR="00973154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operativo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é </w:t>
      </w:r>
      <w:r w:rsidRPr="007F1D5C">
        <w:rPr>
          <w:rFonts w:eastAsia="Times New Roman"/>
          <w:lang w:eastAsia="it-IT"/>
        </w:rPr>
        <w:t>sincronizzato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sulla scala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tempo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nazionale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decreto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Ministro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dell'industria e dell'artigianato 30 novembre 1993, n.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591,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tramite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protocollo </w:t>
      </w:r>
      <w:proofErr w:type="spellStart"/>
      <w:r w:rsidRPr="007F1D5C">
        <w:rPr>
          <w:rFonts w:eastAsia="Times New Roman"/>
          <w:lang w:eastAsia="it-IT"/>
        </w:rPr>
        <w:t>NTP</w:t>
      </w:r>
      <w:proofErr w:type="spellEnd"/>
      <w:r w:rsidRPr="007F1D5C">
        <w:rPr>
          <w:rFonts w:eastAsia="Times New Roman"/>
          <w:lang w:eastAsia="it-IT"/>
        </w:rPr>
        <w:t xml:space="preserve"> o standard superiore. </w:t>
      </w: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1F4964" w:rsidRDefault="001F496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lastRenderedPageBreak/>
        <w:t>Art. 6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Tracciabilit</w:t>
      </w:r>
      <w:r w:rsidRPr="00973154">
        <w:rPr>
          <w:rFonts w:ascii="Berlin Sans FB Demi" w:eastAsia="Times New Roman" w:hAnsi="Berlin Sans FB Demi"/>
          <w:lang w:eastAsia="it-IT"/>
        </w:rPr>
        <w:t>à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integra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apposite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funzionalit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registrazione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cronologica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(log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applicativi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sistema)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eseguite,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nonch</w:t>
      </w:r>
      <w:r>
        <w:rPr>
          <w:rFonts w:eastAsia="Times New Roman"/>
          <w:lang w:eastAsia="it-IT"/>
        </w:rPr>
        <w:t xml:space="preserve">é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cambiamenti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operazioni</w:t>
      </w:r>
      <w:r w:rsidR="00973154">
        <w:rPr>
          <w:rFonts w:eastAsia="Times New Roman"/>
          <w:lang w:eastAsia="it-IT"/>
        </w:rPr>
        <w:t xml:space="preserve"> i</w:t>
      </w:r>
      <w:r w:rsidRPr="007F1D5C">
        <w:rPr>
          <w:rFonts w:eastAsia="Times New Roman"/>
          <w:lang w:eastAsia="it-IT"/>
        </w:rPr>
        <w:t>ntroducono sulla base di dati,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finalit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controllo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automatico degli accessi degli utenti e di verifica 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operazioni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effettuate.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Per le finalit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del comma 1, il sistema 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prevede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creazione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registri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riportano,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ciascuna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operazione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eseguita, i parametri utili 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ricerca,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quali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tipologia,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soggetto che l'ha effettuata e la data e l'ora di esecuzione.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I formati utilizzati per la creazione dei registri sono definiti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nelle regole tecniche di cui all'articolo 2, comma 2. </w:t>
      </w: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1F4964" w:rsidRDefault="001F496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Art. 7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Gestione digitale e conservazione</w:t>
      </w:r>
      <w:r w:rsidR="00973154">
        <w:rPr>
          <w:rFonts w:ascii="Berlin Sans FB Demi" w:eastAsia="Times New Roman" w:hAnsi="Berlin Sans FB Demi"/>
          <w:lang w:eastAsia="it-IT"/>
        </w:rPr>
        <w:t xml:space="preserve"> </w:t>
      </w:r>
      <w:r w:rsidRPr="007F1D5C">
        <w:rPr>
          <w:rFonts w:ascii="Berlin Sans FB Demi" w:eastAsia="Times New Roman" w:hAnsi="Berlin Sans FB Demi"/>
          <w:lang w:eastAsia="it-IT"/>
        </w:rPr>
        <w:t>della documentazione di gara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 dati, i documenti e le comunicazioni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4,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redatti in un formato idoneo 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loro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conservazione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sensi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quanto previsto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44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CAD,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raccolti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fascicolo informatico gestito dal sistema telematico.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fascicolo informatico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contiene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l'impronta delle registrazioni cronologiche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6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calcolata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dell'invio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fascicolo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stesso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conservazione.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Il sistema telematico rende disponibile il fascicolo informatico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 cui 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provvede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conservazione dello stesso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secondo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quanto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stabilito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regole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materia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conservazione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digitale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documenti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informatici.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4. Il gestore del sistema 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mette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disposizione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stazioni appaltanti le registrazioni cronologiche di cui all'articolo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6 e provvede all'invio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conservazione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stesse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secondo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 w:rsidR="00973154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regole tecniche in materia di sistema di conservazione. </w:t>
      </w: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73154" w:rsidRDefault="0097315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Art. 8</w:t>
      </w:r>
    </w:p>
    <w:p w:rsidR="007F1D5C" w:rsidRPr="007F1D5C" w:rsidRDefault="007F1D5C" w:rsidP="00973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7F1D5C">
        <w:rPr>
          <w:rFonts w:ascii="Berlin Sans FB Demi" w:eastAsia="Times New Roman" w:hAnsi="Berlin Sans FB Demi"/>
          <w:lang w:eastAsia="it-IT"/>
        </w:rPr>
        <w:t>Accesso agli atti di gara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telematico permette la presentazione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istanze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accesso agli atti di gara e la messa a disposizione dei medesimi, ove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 ricorrano i presupposti e i requisiti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sensi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normativa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vigente.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9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Sicurezza informatica e protezione dei dati personali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telematico assicura agli utenti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autenticati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all'articolo 3, la disponibilit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dei dati e 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gestiti,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 cui integrit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e segretezza </w:t>
      </w:r>
      <w:r>
        <w:rPr>
          <w:rFonts w:eastAsia="Times New Roman"/>
          <w:lang w:eastAsia="it-IT"/>
        </w:rPr>
        <w:t>é</w:t>
      </w:r>
      <w:r w:rsidRPr="007F1D5C">
        <w:rPr>
          <w:rFonts w:eastAsia="Times New Roman"/>
          <w:lang w:eastAsia="it-IT"/>
        </w:rPr>
        <w:t xml:space="preserve"> garantita anche attraverso l'uso 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idonee tecniche di crittografia e offuscamento, mantenendo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tracciabilit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degli accessi secondo quanto previsto dall'articolo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6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 garantendo la terziet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del gestore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mediante l'impiego di tecnologie basate su registri distribuiti, come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definite dall'articolo 8-ter, comma 1, del decreto-legge 14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dicembre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2018, n. 135, convertito, con modificazioni, dalla legge 11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febbraio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2019, n. 12.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titolare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responsabile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trattamento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assicurano,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mediante idonee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misure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organizzative,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livello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sicurezza dei dati personali adeguato al rischio, che comprendono, 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pseudonimizzazione e la cifratura dei dati personali, la capacit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assicurare su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base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permanente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riservatezza,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l'integrit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>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disponibilit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resilienza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servizi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trattamento 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testare,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verificare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valutare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l'efficacia delle misure tecniche e organizzative messe in atto.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Le informazioni gestite dal sistema telematico sono contenute in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data center secondo le specifiche descritte dalle regole tecniche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cui all'articolo 2, comma 2.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10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 xml:space="preserve">Continuità operativa e </w:t>
      </w:r>
      <w:proofErr w:type="spellStart"/>
      <w:r w:rsidRPr="008B604A">
        <w:rPr>
          <w:rFonts w:ascii="Berlin Sans FB Demi" w:eastAsia="Times New Roman" w:hAnsi="Berlin Sans FB Demi"/>
          <w:lang w:eastAsia="it-IT"/>
        </w:rPr>
        <w:t>disaster</w:t>
      </w:r>
      <w:proofErr w:type="spellEnd"/>
      <w:r w:rsidRPr="008B604A">
        <w:rPr>
          <w:rFonts w:ascii="Berlin Sans FB Demi" w:eastAsia="Times New Roman" w:hAnsi="Berlin Sans FB Demi"/>
          <w:lang w:eastAsia="it-IT"/>
        </w:rPr>
        <w:t xml:space="preserve"> </w:t>
      </w:r>
      <w:proofErr w:type="spellStart"/>
      <w:r w:rsidRPr="008B604A">
        <w:rPr>
          <w:rFonts w:ascii="Berlin Sans FB Demi" w:eastAsia="Times New Roman" w:hAnsi="Berlin Sans FB Demi"/>
          <w:lang w:eastAsia="it-IT"/>
        </w:rPr>
        <w:t>recovery</w:t>
      </w:r>
      <w:proofErr w:type="spellEnd"/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Al fine di garantire 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continuit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operativa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proofErr w:type="spellStart"/>
      <w:r w:rsidRPr="007F1D5C">
        <w:rPr>
          <w:rFonts w:eastAsia="Times New Roman"/>
          <w:lang w:eastAsia="it-IT"/>
        </w:rPr>
        <w:t>disaster</w:t>
      </w:r>
      <w:proofErr w:type="spellEnd"/>
      <w:r w:rsidR="008B604A">
        <w:rPr>
          <w:rFonts w:eastAsia="Times New Roman"/>
          <w:lang w:eastAsia="it-IT"/>
        </w:rPr>
        <w:t xml:space="preserve"> </w:t>
      </w:r>
      <w:proofErr w:type="spellStart"/>
      <w:r w:rsidRPr="007F1D5C">
        <w:rPr>
          <w:rFonts w:eastAsia="Times New Roman"/>
          <w:lang w:eastAsia="it-IT"/>
        </w:rPr>
        <w:t>recovery</w:t>
      </w:r>
      <w:proofErr w:type="spellEnd"/>
      <w:r w:rsidRPr="007F1D5C">
        <w:rPr>
          <w:rFonts w:eastAsia="Times New Roman"/>
          <w:lang w:eastAsia="it-IT"/>
        </w:rPr>
        <w:t>, il gestore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definisce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aggiorna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periodicamente il documento di gestione 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continuit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operativa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(Business Impact </w:t>
      </w:r>
      <w:proofErr w:type="spellStart"/>
      <w:r w:rsidRPr="007F1D5C">
        <w:rPr>
          <w:rFonts w:eastAsia="Times New Roman"/>
          <w:lang w:eastAsia="it-IT"/>
        </w:rPr>
        <w:t>Analysis</w:t>
      </w:r>
      <w:proofErr w:type="spellEnd"/>
      <w:r w:rsidRPr="007F1D5C">
        <w:rPr>
          <w:rFonts w:eastAsia="Times New Roman"/>
          <w:lang w:eastAsia="it-IT"/>
        </w:rPr>
        <w:t xml:space="preserve"> - </w:t>
      </w:r>
      <w:proofErr w:type="spellStart"/>
      <w:r w:rsidRPr="007F1D5C">
        <w:rPr>
          <w:rFonts w:eastAsia="Times New Roman"/>
          <w:lang w:eastAsia="it-IT"/>
        </w:rPr>
        <w:t>BIA</w:t>
      </w:r>
      <w:proofErr w:type="spellEnd"/>
      <w:r w:rsidRPr="007F1D5C">
        <w:rPr>
          <w:rFonts w:eastAsia="Times New Roman"/>
          <w:lang w:eastAsia="it-IT"/>
        </w:rPr>
        <w:t>),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nonch</w:t>
      </w:r>
      <w:r>
        <w:rPr>
          <w:rFonts w:eastAsia="Times New Roman"/>
          <w:lang w:eastAsia="it-IT"/>
        </w:rPr>
        <w:t xml:space="preserve">é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piani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continuit</w:t>
      </w:r>
      <w:r>
        <w:rPr>
          <w:rFonts w:eastAsia="Times New Roman"/>
          <w:lang w:eastAsia="it-IT"/>
        </w:rPr>
        <w:t>à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operativa e </w:t>
      </w:r>
      <w:proofErr w:type="spellStart"/>
      <w:r w:rsidRPr="007F1D5C">
        <w:rPr>
          <w:rFonts w:eastAsia="Times New Roman"/>
          <w:lang w:eastAsia="it-IT"/>
        </w:rPr>
        <w:t>disaster</w:t>
      </w:r>
      <w:proofErr w:type="spellEnd"/>
      <w:r w:rsidRPr="007F1D5C">
        <w:rPr>
          <w:rFonts w:eastAsia="Times New Roman"/>
          <w:lang w:eastAsia="it-IT"/>
        </w:rPr>
        <w:t xml:space="preserve"> </w:t>
      </w:r>
      <w:proofErr w:type="spellStart"/>
      <w:r w:rsidRPr="007F1D5C">
        <w:rPr>
          <w:rFonts w:eastAsia="Times New Roman"/>
          <w:lang w:eastAsia="it-IT"/>
        </w:rPr>
        <w:t>recovery</w:t>
      </w:r>
      <w:proofErr w:type="spellEnd"/>
      <w:r w:rsidRPr="007F1D5C">
        <w:rPr>
          <w:rFonts w:eastAsia="Times New Roman"/>
          <w:lang w:eastAsia="it-IT"/>
        </w:rPr>
        <w:t xml:space="preserve"> redatti in conformit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alle linee guida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in materia emanate da </w:t>
      </w:r>
      <w:proofErr w:type="spellStart"/>
      <w:r w:rsidRPr="007F1D5C">
        <w:rPr>
          <w:rFonts w:eastAsia="Times New Roman"/>
          <w:lang w:eastAsia="it-IT"/>
        </w:rPr>
        <w:t>AgID</w:t>
      </w:r>
      <w:proofErr w:type="spellEnd"/>
      <w:r w:rsidRPr="007F1D5C">
        <w:rPr>
          <w:rFonts w:eastAsia="Times New Roman"/>
          <w:lang w:eastAsia="it-IT"/>
        </w:rPr>
        <w:t xml:space="preserve"> ai sensi dell'articolo 71 del CAD. 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lastRenderedPageBreak/>
        <w:t>Art. 11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Pagamenti telematici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é </w:t>
      </w:r>
      <w:r w:rsidRPr="007F1D5C">
        <w:rPr>
          <w:rFonts w:eastAsia="Times New Roman"/>
          <w:lang w:eastAsia="it-IT"/>
        </w:rPr>
        <w:t>integrato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piattaforma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tecnologica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l'interconnessione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l'interoperabilit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tra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pubbliche amministrazioni e 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prestatori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servizi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pagamento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abilitati, prevista dall'articolo 5 del CAD. </w:t>
      </w:r>
    </w:p>
    <w:p w:rsidR="008B604A" w:rsidRDefault="008B604A" w:rsidP="007F1D5C">
      <w:pPr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 xml:space="preserve">Capo </w:t>
      </w:r>
      <w:proofErr w:type="spellStart"/>
      <w:r w:rsidRPr="008B604A">
        <w:rPr>
          <w:rFonts w:ascii="Berlin Sans FB Demi" w:eastAsia="Times New Roman" w:hAnsi="Berlin Sans FB Demi"/>
          <w:lang w:eastAsia="it-IT"/>
        </w:rPr>
        <w:t>II</w:t>
      </w:r>
      <w:proofErr w:type="spellEnd"/>
      <w:r w:rsidRPr="008B604A">
        <w:rPr>
          <w:rFonts w:ascii="Berlin Sans FB Demi" w:eastAsia="Times New Roman" w:hAnsi="Berlin Sans FB Demi"/>
          <w:bdr w:val="none" w:sz="0" w:space="0" w:color="auto" w:frame="1"/>
          <w:lang w:eastAsia="it-IT"/>
        </w:rPr>
        <w:br/>
      </w:r>
      <w:r w:rsidRPr="008B604A">
        <w:rPr>
          <w:rFonts w:ascii="Berlin Sans FB Demi" w:eastAsia="Times New Roman" w:hAnsi="Berlin Sans FB Demi"/>
          <w:lang w:eastAsia="it-IT"/>
        </w:rPr>
        <w:t>Gestione digitale delle procedure</w:t>
      </w:r>
      <w:r w:rsidR="008B604A">
        <w:rPr>
          <w:rFonts w:ascii="Berlin Sans FB Demi" w:eastAsia="Times New Roman" w:hAnsi="Berlin Sans FB Demi"/>
          <w:lang w:eastAsia="it-IT"/>
        </w:rPr>
        <w:t xml:space="preserve"> </w:t>
      </w:r>
      <w:r w:rsidRPr="008B604A">
        <w:rPr>
          <w:rFonts w:ascii="Berlin Sans FB Demi" w:eastAsia="Times New Roman" w:hAnsi="Berlin Sans FB Demi"/>
          <w:lang w:eastAsia="it-IT"/>
        </w:rPr>
        <w:t>di acquisto e di negoziazione</w:t>
      </w:r>
    </w:p>
    <w:p w:rsidR="008B604A" w:rsidRDefault="008B604A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12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Acquisizione del codice identificativo della gara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l'acquisizione del codice identificativo della gara, nel rispetto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quanto previsto dalle deliberazioni dell'ANAC.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La richiesta del codice identificativo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avviene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attraverso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sulla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base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dell'accordo di servizio sottoscritto dal responsabile del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dal gestore del sistema con ANAC.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13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Determina a contrarre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l'acquisizione della determina a contrarre tramite caricamento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stessa nel sistema, provvedendo altres</w:t>
      </w:r>
      <w:r>
        <w:rPr>
          <w:rFonts w:eastAsia="Times New Roman"/>
          <w:lang w:eastAsia="it-IT"/>
        </w:rPr>
        <w:t xml:space="preserve">ì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successivo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inserimento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nel fascicolo informatico di cui all'articolo 7.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redazione dello schema di determina a contrarre.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14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Redazione e pubblicazione del bando e degli atti di gara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telematico, anche tramite la interconnessione 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apposite piattaforme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Ministero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infrastrutture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sostenibili e dell'ANAC, consente alla 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 assolvere agli obblighi di pubblicazione dei bandi di gara e degli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avvisi previsti dal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codice,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garantendo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gestione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automatizzata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 relative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notifiche,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secondo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specifiche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descritte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dalle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regole tecniche di cui all'articolo 2, comma 2.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sistema telematico, anche tramite la interconnessione 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apposita piattaforma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Ministero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infrastrutture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mobilit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sostenibili,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predisporre gli schemi di documento di gara unico europeo 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formato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elettronico ai sensi dell'articolo 85 del codice.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Il sistema telematico acquisisce la documentazione di gara 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consente la redazione.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Ove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affidamento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preveda,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supporta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redazione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nell'invio di inviti corredati dai necessari allegati.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1F4964" w:rsidRDefault="001F4964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15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Partecipazione alla procedura di gara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all'operatore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compilare e presentare l'offerta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mediante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interfaccia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web,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oppure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tramite applicativi di acquisizione dei documenti strutturati secondo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le regole tecniche di cui all'articolo 2, comma 2.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sistema telematico, anche tramite la interconnessione 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apposita piattaforma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Ministero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infrastrutture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sostenibili, consente agli operatori economici di compilare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 di inserire nel sistema 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europeo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formato elettronico ai sensi dell'articolo 85 del codice, nonch</w:t>
      </w:r>
      <w:r>
        <w:rPr>
          <w:rFonts w:eastAsia="Times New Roman"/>
          <w:lang w:eastAsia="it-IT"/>
        </w:rPr>
        <w:t xml:space="preserve">é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inserire l'offerta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allegati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l'offerta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economica.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Il sistema telematico, al momento della ricezione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dell'offerta,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trasmette automaticamente all'operatore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messaggio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notifica dell'avvenuta ricezione della documentazione,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indicando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data e l'ora di presentazione della stessa.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effettua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verifica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preliminare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dell'avvenuto inserimento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tutti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previsti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partecipazione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l'integrale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compilazione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moduli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on-line. 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esito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negativo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verifica,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trasmette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automaticamente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all'operatore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un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messaggio di errore con l'indicazione delle criticit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riscontrate. 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lastRenderedPageBreak/>
        <w:t>Art. 16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Commissione giudicatrice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telematico gestisce le comunicazioni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eseguite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 appaltante ai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composizione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giudicatrice.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sistema telematico acquisisce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nominativi dei componenti della commissione giudicatrice.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Completata la composizione 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giudicatrice,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trasmette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all'ANAC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l'elenco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commissari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nominati.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17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Modalità telematica di svolgimento</w:t>
      </w:r>
      <w:r w:rsidR="008B604A">
        <w:rPr>
          <w:rFonts w:ascii="Berlin Sans FB Demi" w:eastAsia="Times New Roman" w:hAnsi="Berlin Sans FB Demi"/>
          <w:lang w:eastAsia="it-IT"/>
        </w:rPr>
        <w:t xml:space="preserve"> </w:t>
      </w:r>
      <w:r w:rsidRPr="008B604A">
        <w:rPr>
          <w:rFonts w:ascii="Berlin Sans FB Demi" w:eastAsia="Times New Roman" w:hAnsi="Berlin Sans FB Demi"/>
          <w:lang w:eastAsia="it-IT"/>
        </w:rPr>
        <w:t>dell'attività della commissione giudicatrice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telematico consente ai componenti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giudicatrice l'accesso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inserita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 telematico dagli operatori economici. 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 anche, previa autorizzazione 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medesima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limiti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dell'autorizzazione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concessa,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svolgimento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dell'attivit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istruttoria di competenza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eventuali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segretari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responsabili del procedimento o componenti del seggio di gara.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sistema 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gestione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sedute collegiali 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giudicatrice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verificando,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ove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necessario, l'accesso al sistema telematico di tutti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soggetti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 al comma 1 e il loro collegamento nel corso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dell'intera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seduta.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Esso garantisce, inoltre, la riservatezza delle sedute collegiali che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non sono pubbliche, con le modalit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definite nelle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regole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tecniche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di cui all'articolo 2, comma 2.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Il sistema telematico consente l'acquisizione dei verbali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loro redazione e registra le sedute 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giudicatrice,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 garantendo la segretezza della registrazione 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sedute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non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pubbliche.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18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Sedute pubbliche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gestione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sedute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pubbliche in modalit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telematica, permettendo l'accesso alle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stesse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 le modalit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indicate all'articolo 3.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19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Apertura e verifica della documentazione amministrativa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Tramite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partecipanti sono comunicate la data e l'ora della seduta pubblica in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cui si procede all'apertura della documentazione amministrativa.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partire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dell'apertura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documentazione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amministrativa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conclusione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fase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valutativa,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l'accesso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documentazione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articoli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21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22,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salvo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detta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documentazione sia gi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stata aperta e 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stata conclusa.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permette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consultare e verificare la documentazione amministrativa richiesta ai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fini dell'ammissibilit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alla procedura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attivare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soccorso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istruttorio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richiesta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chiarimenti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sulla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presentata.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agli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 economici partecipanti di accedere 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atti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sensi della normativa vigente.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4.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redazione,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l'acquisizione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notifica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provvedimento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ammissione o di esclusione degli operatori economici 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inserisce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nel fascicolo informatico di cui all'articolo 7.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5. In caso di esclusione dalla gara di un partecipante, 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 nel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rispetto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normativa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vigente,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 appaltante la comunicazione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provvedimento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esclusione alla banca dati nazionale dei contratti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(</w:t>
      </w:r>
      <w:proofErr w:type="spellStart"/>
      <w:r w:rsidRPr="007F1D5C">
        <w:rPr>
          <w:rFonts w:eastAsia="Times New Roman"/>
          <w:lang w:eastAsia="it-IT"/>
        </w:rPr>
        <w:t>BDNCP</w:t>
      </w:r>
      <w:proofErr w:type="spellEnd"/>
      <w:r w:rsidRPr="007F1D5C">
        <w:rPr>
          <w:rFonts w:eastAsia="Times New Roman"/>
          <w:lang w:eastAsia="it-IT"/>
        </w:rPr>
        <w:t>)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213,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8,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codice,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fini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dell'iscrizione nel casellario informatico dei contratti pubblici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cui all'articolo 213, comma 10, del codice.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6. Al termine della verifica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amministrativa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presentata dagli operatori economici, il sistema 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conferma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esiti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verifiche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prosecuzione della procedura per i soli soggetti ammessi.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7. Ove ne ricorrano le condizioni,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 stazione appaltante di modificare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esiti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verifiche,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garantendo la tracciabilit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delle modifiche apportate.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8. La stazione appaltante provvede, tramite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all'invio della notifica di ammissione o di esclusione agli operatori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economici.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lastRenderedPageBreak/>
        <w:t>Art. 20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Verifica dei requisiti di partecipazione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attraverso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effettua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verifica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requisiti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partecipazione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tramite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l'interazione con la banca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nazionale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contratti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(</w:t>
      </w:r>
      <w:proofErr w:type="spellStart"/>
      <w:r w:rsidRPr="007F1D5C">
        <w:rPr>
          <w:rFonts w:eastAsia="Times New Roman"/>
          <w:lang w:eastAsia="it-IT"/>
        </w:rPr>
        <w:t>BDNCP</w:t>
      </w:r>
      <w:proofErr w:type="spellEnd"/>
      <w:r w:rsidRPr="007F1D5C">
        <w:rPr>
          <w:rFonts w:eastAsia="Times New Roman"/>
          <w:lang w:eastAsia="it-IT"/>
        </w:rPr>
        <w:t>) e con le modalit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previste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provvedimento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adottato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sensi dell'articolo 81, comma 2, del codice.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21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Apertura e valutazione delle offerte tecniche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La data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l'ora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seduta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all'apertura 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offerte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comunicate,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tramite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ammessi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sensi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dell'articolo 19, comma 6.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Ultimata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l'apertura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offerte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conclusione della relativa fase valutativa, il sistema telematico non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 l'accesso alla documentazione di cui agli articoli 19 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22,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salvo che detta documentazione sia gi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stata aperta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valutazione sia gi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stata conclusa.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 Il sistema telematico consente alla commissione giudicatrice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consultare e valutare le offerte tecniche presentate dagli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economici ammessi, registrando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esiti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stesse.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4. Il sistema telematico esegue il calcolo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punteggio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totale assegnato a ciascun operatore economico e ne registra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l'esito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segnalando l'eventuale mancato superamento del valore soglia.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5. In caso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esclusione,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l'invio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notifica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all'operatore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economico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escluso.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6.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termine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offerte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presentate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ammessi,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commissione, avvalendosi del sistema telematico conferma gli esiti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punteggi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assegnati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sensi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prosecuzione della procedura per i soli soggetti ammessi. </w:t>
      </w: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8B604A" w:rsidRDefault="008B604A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Art. 22</w:t>
      </w:r>
    </w:p>
    <w:p w:rsidR="007F1D5C" w:rsidRPr="008B604A" w:rsidRDefault="007F1D5C" w:rsidP="008B6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8B604A">
        <w:rPr>
          <w:rFonts w:ascii="Berlin Sans FB Demi" w:eastAsia="Times New Roman" w:hAnsi="Berlin Sans FB Demi"/>
          <w:lang w:eastAsia="it-IT"/>
        </w:rPr>
        <w:t>Apertura e valutazione delle offerte economiche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La data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l'ora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seduta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pubblica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all'apertura delle offerte economiche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comunicate,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tramite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ammessi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sensi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dell'articolo 21, comma 6.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commissione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giudicatrice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consulta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offerte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economiche degli operatori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ammessi,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tramite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 che ne registra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esiti.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Ultimata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l'apertura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offerte economiche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conclusione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fase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valutativa,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l'accesso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documentazione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articoli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19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20,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salvo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detta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documentazione sia gi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stata aperta e 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valutazione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stata conclusa.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aggiudicate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criterio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dell'offerta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economicamente pi</w:t>
      </w:r>
      <w:r>
        <w:rPr>
          <w:rFonts w:eastAsia="Times New Roman"/>
          <w:lang w:eastAsia="it-IT"/>
        </w:rPr>
        <w:t>ù</w:t>
      </w:r>
      <w:r w:rsidRPr="007F1D5C">
        <w:rPr>
          <w:rFonts w:eastAsia="Times New Roman"/>
          <w:lang w:eastAsia="it-IT"/>
        </w:rPr>
        <w:t xml:space="preserve"> vantaggiosa la commissione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giudicatrice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calcola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 soglia di anomalia avvalendosi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 w:rsidR="008B604A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procedure di affidamento aggiudicate con il criterio del prezzo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pi</w:t>
      </w:r>
      <w:r>
        <w:rPr>
          <w:rFonts w:eastAsia="Times New Roman"/>
          <w:lang w:eastAsia="it-IT"/>
        </w:rPr>
        <w:t>ù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basso la commissione giudicatrice utilizza il sistema 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l'elencazione delle offerte economiche in ordine di ribasso d'asta.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4. Il sistema telematico consente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procedere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ricalcolo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punteggio assegnato qualora l'esclusione di un concorrente al momento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 valutazione dell'offerta economica ne determini la necessit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5. Al fine di formare la graduatoria 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concorrenti,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 procede,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ciascun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calcolo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totale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punteggio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relativo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all'offerta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tecnica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quello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relativo all'offerta economica e ne registra l'esito. </w:t>
      </w: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Art. 23</w:t>
      </w: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Valutazione delle eventuali offerte anormalmente basse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calcolare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soglia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anomalia nei casi e secondo i criteri previsti dall'articolo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97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codice, segnalando la presenza di offerte 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appaiano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anormalmente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basse.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richiedere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economici,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offerta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appare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anormalmente bassa, le relative giustificazioni.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3.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L'operatore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economico,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modalit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indicate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nella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comunicazione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cui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trasmette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giustificazioni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richieste dalla stazione appaltante tramite il sistema telematico.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4.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seguito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dell'accertamento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dell'anomalia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dell'offerta,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comunica,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tramite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telematico,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l'eventuale esclusione dell'operatore economico che l'ha presentata. </w:t>
      </w: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lastRenderedPageBreak/>
        <w:t>Art. 24</w:t>
      </w: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Formazione della graduatoria di gara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telematico predispone la graduatoria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rende disponibile secondo la normativa vigente. </w:t>
      </w: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9240AF" w:rsidRDefault="009240AF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Art. 25</w:t>
      </w: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Aggiudicazione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telematico consente l'acquisizione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provvedimento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aggiudicazione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l'inserimento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stesso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fascicolo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informatico di cui all'articolo 7.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inviare le comunicazioni relative all'esito della procedura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gara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agli operatori economici e alla </w:t>
      </w:r>
      <w:proofErr w:type="spellStart"/>
      <w:r w:rsidRPr="007F1D5C">
        <w:rPr>
          <w:rFonts w:eastAsia="Times New Roman"/>
          <w:lang w:eastAsia="it-IT"/>
        </w:rPr>
        <w:t>BDNCP</w:t>
      </w:r>
      <w:proofErr w:type="spellEnd"/>
      <w:r w:rsidRPr="007F1D5C">
        <w:rPr>
          <w:rFonts w:eastAsia="Times New Roman"/>
          <w:lang w:eastAsia="it-IT"/>
        </w:rPr>
        <w:t xml:space="preserve">. </w:t>
      </w: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Art. 26</w:t>
      </w: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Avvisi successivi all'aggiudicazione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Ai fini della successiva pubblicazione,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acquisisce la documentazione relativa all'esito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affidamento e ne supporta la redazione.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Il 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consente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appaltante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assolvere all'obbligo di pubblicazione dell'avviso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sull'esito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procedura di affidamento. </w:t>
      </w: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Art. 27</w:t>
      </w: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Acquisizione del contratto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Il sistema telematico consente la redazione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contratto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rispetto di quanto previsto dall'articolo 32, comma 14, del codice e,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comunque, l'acquisizione del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contratto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suo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inserimento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fascicolo informatico di cui all'articolo 7. </w:t>
      </w: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Art. 28</w:t>
      </w: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Migliori pratiche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Al fine di rendere pi</w:t>
      </w:r>
      <w:r>
        <w:rPr>
          <w:rFonts w:eastAsia="Times New Roman"/>
          <w:lang w:eastAsia="it-IT"/>
        </w:rPr>
        <w:t>ù</w:t>
      </w:r>
      <w:r w:rsidRPr="007F1D5C">
        <w:rPr>
          <w:rFonts w:eastAsia="Times New Roman"/>
          <w:lang w:eastAsia="it-IT"/>
        </w:rPr>
        <w:t xml:space="preserve"> efficiente ed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efficace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l'azione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stazione appaltante nello svolgimento delle attivit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connesse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procedure di acquisto e di negoziazione,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telematico</w:t>
      </w:r>
      <w:r>
        <w:rPr>
          <w:rFonts w:eastAsia="Times New Roman"/>
          <w:lang w:eastAsia="it-IT"/>
        </w:rPr>
        <w:t xml:space="preserve"> é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realizzato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tenendo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migliori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pratiche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riguardanti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metodologie organizzative e di lavoro, metodologie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programmazione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pianificazione,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riferite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anche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all'individuazione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rilevanti, alla loro raccolta, gestione ed elaborazione, nonch</w:t>
      </w:r>
      <w:r>
        <w:rPr>
          <w:rFonts w:eastAsia="Times New Roman"/>
          <w:lang w:eastAsia="it-IT"/>
        </w:rPr>
        <w:t>é</w:t>
      </w:r>
      <w:r w:rsidRPr="007F1D5C">
        <w:rPr>
          <w:rFonts w:eastAsia="Times New Roman"/>
          <w:lang w:eastAsia="it-IT"/>
        </w:rPr>
        <w:t xml:space="preserve"> alle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soluzioni informatiche, telematiche e tecnologiche 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supporto,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tra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le quali: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a) redazione in modalit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informatica della documentazione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utile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nell'espletamento delle procedure di gara;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b)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integrazione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gestione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documenti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informatici e di conservazione degli archivi digitali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fascicoli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di gara;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c) scambio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interoperabilit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sia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contabili delle stazioni appaltanti sia con 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sistemi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rilevanti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fini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semplificazione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procedure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operatori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economici;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d) utilizzo di strumenti per la comunicazione, il coordinamento 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 collaborazione anche per la gestione di scadenzari per il rispetto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degli obblighi e degli adempimenti normativi;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e)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adozione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strumenti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innovativi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scambio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comunicazioni da e verso gli operatori economici;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f) adozione di procedure di gestione della vulnerabilit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e degli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aggiornamenti, nonch</w:t>
      </w:r>
      <w:r>
        <w:rPr>
          <w:rFonts w:eastAsia="Times New Roman"/>
          <w:lang w:eastAsia="it-IT"/>
        </w:rPr>
        <w:t xml:space="preserve">é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gestione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incidenti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sicurezza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(security </w:t>
      </w:r>
      <w:proofErr w:type="spellStart"/>
      <w:r w:rsidRPr="007F1D5C">
        <w:rPr>
          <w:rFonts w:eastAsia="Times New Roman"/>
          <w:lang w:eastAsia="it-IT"/>
        </w:rPr>
        <w:t>incident</w:t>
      </w:r>
      <w:proofErr w:type="spellEnd"/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management),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formalizzati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conformit</w:t>
      </w:r>
      <w:r>
        <w:rPr>
          <w:rFonts w:eastAsia="Times New Roman"/>
          <w:lang w:eastAsia="it-IT"/>
        </w:rPr>
        <w:t xml:space="preserve">à </w:t>
      </w:r>
      <w:r w:rsidRPr="007F1D5C">
        <w:rPr>
          <w:rFonts w:eastAsia="Times New Roman"/>
          <w:lang w:eastAsia="it-IT"/>
        </w:rPr>
        <w:t>agli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standard internazionali;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g) integrazione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strumenti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pianificazione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acquisti e la raccolta dei requisiti utili all'indizione delle gare.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2. L'</w:t>
      </w:r>
      <w:proofErr w:type="spellStart"/>
      <w:r w:rsidRPr="007F1D5C">
        <w:rPr>
          <w:rFonts w:eastAsia="Times New Roman"/>
          <w:lang w:eastAsia="it-IT"/>
        </w:rPr>
        <w:t>AgID</w:t>
      </w:r>
      <w:proofErr w:type="spellEnd"/>
      <w:r w:rsidRPr="007F1D5C">
        <w:rPr>
          <w:rFonts w:eastAsia="Times New Roman"/>
          <w:lang w:eastAsia="it-IT"/>
        </w:rPr>
        <w:t>, ai sensi dell'articolo 71 del CAD,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detta,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con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proprie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linee guida, le regole tecniche per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definizione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migliori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pratiche di cui al comma 1.</w:t>
      </w:r>
      <w:r w:rsidRPr="007F1D5C">
        <w:rPr>
          <w:rFonts w:eastAsia="Times New Roman"/>
          <w:lang w:eastAsia="it-IT"/>
        </w:rPr>
        <w:t> </w:t>
      </w:r>
      <w:r w:rsidRPr="007F1D5C">
        <w:rPr>
          <w:rFonts w:eastAsia="Times New Roman"/>
          <w:lang w:eastAsia="it-IT"/>
        </w:rPr>
        <w:t xml:space="preserve"> </w:t>
      </w:r>
    </w:p>
    <w:p w:rsidR="009240AF" w:rsidRDefault="009240AF" w:rsidP="007F1D5C">
      <w:pPr>
        <w:jc w:val="both"/>
        <w:textAlignment w:val="baseline"/>
        <w:rPr>
          <w:rFonts w:eastAsia="Times New Roman"/>
          <w:lang w:eastAsia="it-IT"/>
        </w:rPr>
      </w:pPr>
    </w:p>
    <w:p w:rsidR="009240AF" w:rsidRDefault="009240AF" w:rsidP="007F1D5C">
      <w:pPr>
        <w:jc w:val="both"/>
        <w:textAlignment w:val="baseline"/>
        <w:rPr>
          <w:rFonts w:eastAsia="Times New Roman"/>
          <w:lang w:eastAsia="it-IT"/>
        </w:rPr>
      </w:pPr>
    </w:p>
    <w:p w:rsidR="00EE2164" w:rsidRDefault="00EE2164">
      <w:pPr>
        <w:rPr>
          <w:rFonts w:ascii="Berlin Sans FB Demi" w:eastAsia="Times New Roman" w:hAnsi="Berlin Sans FB Demi"/>
          <w:lang w:eastAsia="it-IT"/>
        </w:rPr>
      </w:pPr>
      <w:r>
        <w:rPr>
          <w:rFonts w:ascii="Berlin Sans FB Demi" w:eastAsia="Times New Roman" w:hAnsi="Berlin Sans FB Demi"/>
          <w:lang w:eastAsia="it-IT"/>
        </w:rPr>
        <w:br w:type="page"/>
      </w:r>
    </w:p>
    <w:p w:rsidR="007F1D5C" w:rsidRPr="009240AF" w:rsidRDefault="007F1D5C" w:rsidP="009240AF">
      <w:pPr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lastRenderedPageBreak/>
        <w:t xml:space="preserve">Capo </w:t>
      </w:r>
      <w:proofErr w:type="spellStart"/>
      <w:r w:rsidRPr="009240AF">
        <w:rPr>
          <w:rFonts w:ascii="Berlin Sans FB Demi" w:eastAsia="Times New Roman" w:hAnsi="Berlin Sans FB Demi"/>
          <w:lang w:eastAsia="it-IT"/>
        </w:rPr>
        <w:t>III</w:t>
      </w:r>
      <w:proofErr w:type="spellEnd"/>
      <w:r w:rsidRPr="009240AF">
        <w:rPr>
          <w:rFonts w:ascii="Berlin Sans FB Demi" w:eastAsia="Times New Roman" w:hAnsi="Berlin Sans FB Demi"/>
          <w:bdr w:val="none" w:sz="0" w:space="0" w:color="auto" w:frame="1"/>
          <w:lang w:eastAsia="it-IT"/>
        </w:rPr>
        <w:br/>
      </w:r>
      <w:r w:rsidRPr="009240AF">
        <w:rPr>
          <w:rFonts w:ascii="Berlin Sans FB Demi" w:eastAsia="Times New Roman" w:hAnsi="Berlin Sans FB Demi"/>
          <w:lang w:eastAsia="it-IT"/>
        </w:rPr>
        <w:t>Disposizioni finali</w:t>
      </w:r>
    </w:p>
    <w:p w:rsidR="009240AF" w:rsidRDefault="009240AF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</w:p>
    <w:p w:rsidR="009240AF" w:rsidRDefault="009240AF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Art. 29</w:t>
      </w: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Berlin Sans FB Demi" w:eastAsia="Times New Roman" w:hAnsi="Berlin Sans FB Demi"/>
          <w:lang w:eastAsia="it-IT"/>
        </w:rPr>
      </w:pPr>
      <w:r w:rsidRPr="009240AF">
        <w:rPr>
          <w:rFonts w:ascii="Berlin Sans FB Demi" w:eastAsia="Times New Roman" w:hAnsi="Berlin Sans FB Demi"/>
          <w:lang w:eastAsia="it-IT"/>
        </w:rPr>
        <w:t>Disposizioni finali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1. Fatte salve le disposizioni transitorie previste dal codice,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le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stazioni appaltanti adeguano i propri sistemi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telematici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entro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sei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mesi dall'adozione delle linee guida di cui all'articolo 2, comma 2. </w:t>
      </w: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 presente decreto, munito del sigillo dello Stato, sar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inserito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Raccolta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ufficiale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degli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atti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normativi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della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Repubblica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italiana. </w:t>
      </w:r>
      <w:r>
        <w:rPr>
          <w:rFonts w:eastAsia="Times New Roman"/>
          <w:lang w:eastAsia="it-IT"/>
        </w:rPr>
        <w:t>É</w:t>
      </w:r>
      <w:r w:rsidRPr="007F1D5C">
        <w:rPr>
          <w:rFonts w:eastAsia="Times New Roman"/>
          <w:lang w:eastAsia="it-IT"/>
        </w:rPr>
        <w:t xml:space="preserve"> fatto obbligo a chiunque spetti di osservarlo e di farlo</w:t>
      </w:r>
      <w:r w:rsidR="009240AF"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osservare. </w:t>
      </w:r>
    </w:p>
    <w:p w:rsidR="009240AF" w:rsidRDefault="009240AF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Roma, 12 agosto 2021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Il Ministro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per la pubblica amministrazione </w:t>
      </w:r>
      <w:r w:rsidR="009240AF">
        <w:rPr>
          <w:rFonts w:eastAsia="Times New Roman"/>
          <w:lang w:eastAsia="it-IT"/>
        </w:rPr>
        <w:t>-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Brunetta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Il Ministro delle infrastrutture 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>e della mobilit</w:t>
      </w:r>
      <w:r>
        <w:rPr>
          <w:rFonts w:eastAsia="Times New Roman"/>
          <w:lang w:eastAsia="it-IT"/>
        </w:rPr>
        <w:t>à</w:t>
      </w:r>
      <w:r w:rsidRPr="007F1D5C">
        <w:rPr>
          <w:rFonts w:eastAsia="Times New Roman"/>
          <w:lang w:eastAsia="it-IT"/>
        </w:rPr>
        <w:t xml:space="preserve"> sostenibili </w:t>
      </w:r>
      <w:r w:rsidR="009240AF">
        <w:rPr>
          <w:rFonts w:eastAsia="Times New Roman"/>
          <w:lang w:eastAsia="it-IT"/>
        </w:rPr>
        <w:t>-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Giovannini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Il Ministro dell'economia 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e delle finanze </w:t>
      </w:r>
      <w:r w:rsidR="009240AF">
        <w:rPr>
          <w:rFonts w:eastAsia="Times New Roman"/>
          <w:lang w:eastAsia="it-IT"/>
        </w:rPr>
        <w:t>-</w:t>
      </w:r>
      <w:r>
        <w:rPr>
          <w:rFonts w:eastAsia="Times New Roman"/>
          <w:lang w:eastAsia="it-IT"/>
        </w:rPr>
        <w:t xml:space="preserve"> </w:t>
      </w:r>
      <w:r w:rsidRPr="007F1D5C">
        <w:rPr>
          <w:rFonts w:eastAsia="Times New Roman"/>
          <w:lang w:eastAsia="it-IT"/>
        </w:rPr>
        <w:t xml:space="preserve">Franco </w:t>
      </w:r>
    </w:p>
    <w:p w:rsidR="007F1D5C" w:rsidRPr="007F1D5C" w:rsidRDefault="007F1D5C" w:rsidP="007F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 </w:t>
      </w:r>
    </w:p>
    <w:p w:rsidR="007F1D5C" w:rsidRPr="009240AF" w:rsidRDefault="007F1D5C" w:rsidP="00924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lang w:eastAsia="it-IT"/>
        </w:rPr>
      </w:pPr>
      <w:r w:rsidRPr="007F1D5C">
        <w:rPr>
          <w:rFonts w:eastAsia="Times New Roman"/>
          <w:lang w:eastAsia="it-IT"/>
        </w:rPr>
        <w:t xml:space="preserve">Visto, il Guardasigilli: </w:t>
      </w:r>
      <w:proofErr w:type="spellStart"/>
      <w:r w:rsidRPr="007F1D5C">
        <w:rPr>
          <w:rFonts w:eastAsia="Times New Roman"/>
          <w:lang w:eastAsia="it-IT"/>
        </w:rPr>
        <w:t>Cartabia</w:t>
      </w:r>
      <w:proofErr w:type="spellEnd"/>
      <w:r w:rsidRPr="007F1D5C">
        <w:rPr>
          <w:rFonts w:eastAsia="Times New Roman"/>
          <w:lang w:eastAsia="it-IT"/>
        </w:rPr>
        <w:t xml:space="preserve"> </w:t>
      </w:r>
    </w:p>
    <w:sectPr w:rsidR="007F1D5C" w:rsidRPr="009240AF" w:rsidSect="00F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A5530"/>
    <w:multiLevelType w:val="hybridMultilevel"/>
    <w:tmpl w:val="C960F4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C75472"/>
    <w:multiLevelType w:val="hybridMultilevel"/>
    <w:tmpl w:val="2A8206E6"/>
    <w:lvl w:ilvl="0" w:tplc="F260FBF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FF84313"/>
    <w:multiLevelType w:val="hybridMultilevel"/>
    <w:tmpl w:val="FE06DBAC"/>
    <w:lvl w:ilvl="0" w:tplc="6C86B0A2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26501"/>
    <w:rsid w:val="001477DB"/>
    <w:rsid w:val="001F4964"/>
    <w:rsid w:val="003E7A33"/>
    <w:rsid w:val="00420EE4"/>
    <w:rsid w:val="00526501"/>
    <w:rsid w:val="005F6D99"/>
    <w:rsid w:val="00794CED"/>
    <w:rsid w:val="007F1D5C"/>
    <w:rsid w:val="008B604A"/>
    <w:rsid w:val="009240AF"/>
    <w:rsid w:val="009632F2"/>
    <w:rsid w:val="00973154"/>
    <w:rsid w:val="00AB6061"/>
    <w:rsid w:val="00B416A8"/>
    <w:rsid w:val="00E0233A"/>
    <w:rsid w:val="00EC36B3"/>
    <w:rsid w:val="00EE2164"/>
    <w:rsid w:val="00F72C22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paragraph" w:styleId="Titolo1">
    <w:name w:val="heading 1"/>
    <w:basedOn w:val="Normale"/>
    <w:link w:val="Titolo1Carattere"/>
    <w:uiPriority w:val="9"/>
    <w:qFormat/>
    <w:rsid w:val="005265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265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265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52650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65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650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650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50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linkgazzetta">
    <w:name w:val="link_gazzetta"/>
    <w:basedOn w:val="Carpredefinitoparagrafo"/>
    <w:rsid w:val="00526501"/>
  </w:style>
  <w:style w:type="character" w:styleId="Collegamentoipertestuale">
    <w:name w:val="Hyperlink"/>
    <w:basedOn w:val="Carpredefinitoparagrafo"/>
    <w:uiPriority w:val="99"/>
    <w:semiHidden/>
    <w:unhideWhenUsed/>
    <w:rsid w:val="00526501"/>
    <w:rPr>
      <w:color w:val="0000FF"/>
      <w:u w:val="single"/>
    </w:rPr>
  </w:style>
  <w:style w:type="character" w:customStyle="1" w:styleId="rosso">
    <w:name w:val="rosso"/>
    <w:basedOn w:val="Carpredefinitoparagrafo"/>
    <w:rsid w:val="0052650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F1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F1D5C"/>
    <w:rPr>
      <w:rFonts w:ascii="Courier New" w:eastAsia="Times New Roman" w:hAnsi="Courier New" w:cs="Courier New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1D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ntro">
    <w:name w:val="dentro"/>
    <w:basedOn w:val="Carpredefinitoparagrafo"/>
    <w:rsid w:val="007F1D5C"/>
  </w:style>
  <w:style w:type="table" w:styleId="Grigliatabella">
    <w:name w:val="Table Grid"/>
    <w:basedOn w:val="Tabellanormale"/>
    <w:uiPriority w:val="59"/>
    <w:rsid w:val="00B41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72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zzettaufficiale.it/eli/gu/2021/10/26/256/sg/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918F3-A174-4DD7-AC92-39625B75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5244</Words>
  <Characters>29891</Characters>
  <Application>Microsoft Office Word</Application>
  <DocSecurity>0</DocSecurity>
  <Lines>249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9</cp:revision>
  <dcterms:created xsi:type="dcterms:W3CDTF">2021-10-28T06:30:00Z</dcterms:created>
  <dcterms:modified xsi:type="dcterms:W3CDTF">2021-10-28T13:02:00Z</dcterms:modified>
</cp:coreProperties>
</file>