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E0" w:rsidRPr="005B68E0" w:rsidRDefault="005B68E0" w:rsidP="005B68E0">
      <w:pPr>
        <w:spacing w:line="280" w:lineRule="exact"/>
        <w:textAlignment w:val="baseline"/>
        <w:rPr>
          <w:rFonts w:eastAsia="Times New Roman" w:cs="Times New Roman"/>
          <w:b/>
          <w:bCs/>
          <w:color w:val="auto"/>
          <w:spacing w:val="0"/>
          <w:sz w:val="28"/>
          <w:szCs w:val="28"/>
          <w:lang w:eastAsia="it-IT"/>
        </w:rPr>
      </w:pPr>
      <w:r w:rsidRPr="005B68E0">
        <w:rPr>
          <w:rFonts w:eastAsia="Times New Roman" w:cs="Times New Roman"/>
          <w:b/>
          <w:bCs/>
          <w:color w:val="auto"/>
          <w:spacing w:val="0"/>
          <w:sz w:val="28"/>
          <w:szCs w:val="28"/>
          <w:lang w:eastAsia="it-IT"/>
        </w:rPr>
        <w:t>TESTO COORDINATO DEL DECRETO-LEGGE 6 maggio 2021, n. 59 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eastAsia="Times New Roman" w:cs="Courier New"/>
          <w:b/>
          <w:bCs/>
          <w:color w:val="auto"/>
          <w:spacing w:val="0"/>
          <w:sz w:val="28"/>
          <w:szCs w:val="28"/>
          <w:lang w:eastAsia="it-IT"/>
        </w:rPr>
      </w:pPr>
      <w:r w:rsidRPr="005B68E0">
        <w:rPr>
          <w:rFonts w:eastAsia="Times New Roman" w:cs="Courier New"/>
          <w:b/>
          <w:bCs/>
          <w:color w:val="auto"/>
          <w:spacing w:val="0"/>
          <w:sz w:val="28"/>
          <w:szCs w:val="28"/>
          <w:lang w:eastAsia="it-IT"/>
        </w:rPr>
        <w:t xml:space="preserve">Testo del decreto-legge 6 maggio 2021, n. 59 (in </w:t>
      </w:r>
      <w:proofErr w:type="spellStart"/>
      <w:r w:rsidRPr="005B68E0">
        <w:rPr>
          <w:rFonts w:eastAsia="Times New Roman" w:cs="Courier New"/>
          <w:b/>
          <w:bCs/>
          <w:color w:val="auto"/>
          <w:spacing w:val="0"/>
          <w:sz w:val="28"/>
          <w:szCs w:val="28"/>
          <w:lang w:eastAsia="it-IT"/>
        </w:rPr>
        <w:t>G.U.-s.g.</w:t>
      </w:r>
      <w:proofErr w:type="spellEnd"/>
      <w:r w:rsidRPr="005B68E0">
        <w:rPr>
          <w:rFonts w:eastAsia="Times New Roman" w:cs="Courier New"/>
          <w:b/>
          <w:bCs/>
          <w:color w:val="auto"/>
          <w:spacing w:val="0"/>
          <w:sz w:val="28"/>
          <w:szCs w:val="28"/>
          <w:lang w:eastAsia="it-IT"/>
        </w:rPr>
        <w:t xml:space="preserve"> n. 108-2021),  coordinato con  la  legge di conversione 1° luglio 2021, n.  101  (in </w:t>
      </w:r>
      <w:proofErr w:type="spellStart"/>
      <w:r w:rsidRPr="005B68E0">
        <w:rPr>
          <w:rFonts w:eastAsia="Times New Roman" w:cs="Courier New"/>
          <w:b/>
          <w:bCs/>
          <w:color w:val="auto"/>
          <w:spacing w:val="0"/>
          <w:sz w:val="28"/>
          <w:szCs w:val="28"/>
          <w:lang w:eastAsia="it-IT"/>
        </w:rPr>
        <w:t>G.U.-</w:t>
      </w:r>
      <w:proofErr w:type="spellEnd"/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eastAsia="Times New Roman" w:cs="Courier New"/>
          <w:b/>
          <w:bCs/>
          <w:color w:val="auto"/>
          <w:spacing w:val="0"/>
          <w:sz w:val="28"/>
          <w:szCs w:val="28"/>
          <w:lang w:eastAsia="it-IT"/>
        </w:rPr>
      </w:pPr>
      <w:proofErr w:type="spellStart"/>
      <w:r w:rsidRPr="005B68E0">
        <w:rPr>
          <w:rFonts w:eastAsia="Times New Roman" w:cs="Courier New"/>
          <w:b/>
          <w:bCs/>
          <w:color w:val="auto"/>
          <w:spacing w:val="0"/>
          <w:sz w:val="28"/>
          <w:szCs w:val="28"/>
          <w:lang w:eastAsia="it-IT"/>
        </w:rPr>
        <w:t>s.g.</w:t>
      </w:r>
      <w:proofErr w:type="spellEnd"/>
      <w:r w:rsidRPr="005B68E0">
        <w:rPr>
          <w:rFonts w:eastAsia="Times New Roman" w:cs="Courier New"/>
          <w:b/>
          <w:bCs/>
          <w:color w:val="auto"/>
          <w:spacing w:val="0"/>
          <w:sz w:val="28"/>
          <w:szCs w:val="28"/>
          <w:lang w:eastAsia="it-IT"/>
        </w:rPr>
        <w:t xml:space="preserve"> n. 160-2021), recante: «Misure urgenti  relative  al  Fondo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eastAsia="Times New Roman" w:cs="Courier New"/>
          <w:b/>
          <w:bCs/>
          <w:color w:val="auto"/>
          <w:spacing w:val="0"/>
          <w:sz w:val="28"/>
          <w:szCs w:val="28"/>
          <w:lang w:eastAsia="it-IT"/>
        </w:rPr>
      </w:pPr>
      <w:r w:rsidRPr="005B68E0">
        <w:rPr>
          <w:rFonts w:eastAsia="Times New Roman" w:cs="Courier New"/>
          <w:b/>
          <w:bCs/>
          <w:color w:val="auto"/>
          <w:spacing w:val="0"/>
          <w:sz w:val="28"/>
          <w:szCs w:val="28"/>
          <w:lang w:eastAsia="it-IT"/>
        </w:rPr>
        <w:t>complementare al Piano nazionale di  ripresa  e  resilienza  e  altre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color w:val="auto"/>
          <w:spacing w:val="0"/>
          <w:sz w:val="20"/>
          <w:szCs w:val="20"/>
          <w:lang w:eastAsia="it-IT"/>
        </w:rPr>
      </w:pPr>
      <w:r w:rsidRPr="005B68E0">
        <w:rPr>
          <w:rFonts w:eastAsia="Times New Roman" w:cs="Courier New"/>
          <w:b/>
          <w:bCs/>
          <w:color w:val="auto"/>
          <w:spacing w:val="0"/>
          <w:sz w:val="28"/>
          <w:szCs w:val="28"/>
          <w:lang w:eastAsia="it-IT"/>
        </w:rPr>
        <w:t>misure urgenti per gli investimenti.».</w:t>
      </w:r>
      <w:r w:rsidRPr="005B68E0">
        <w:rPr>
          <w:rFonts w:ascii="Courier New" w:eastAsia="Times New Roman" w:hAnsi="Courier New" w:cs="Courier New"/>
          <w:b/>
          <w:bCs/>
          <w:color w:val="auto"/>
          <w:spacing w:val="0"/>
          <w:sz w:val="20"/>
          <w:szCs w:val="20"/>
          <w:lang w:eastAsia="it-IT"/>
        </w:rPr>
        <w:t xml:space="preserve"> (21A04068) </w:t>
      </w:r>
    </w:p>
    <w:p w:rsidR="005B68E0" w:rsidRPr="005B68E0" w:rsidRDefault="005B68E0" w:rsidP="005B68E0">
      <w:pPr>
        <w:spacing w:line="280" w:lineRule="exact"/>
        <w:textAlignment w:val="baseline"/>
        <w:rPr>
          <w:rFonts w:ascii="Times New Roman" w:eastAsia="Times New Roman" w:hAnsi="Times New Roman" w:cs="Times New Roman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Times New Roman" w:eastAsia="Times New Roman" w:hAnsi="Times New Roman" w:cs="Times New Roman"/>
          <w:color w:val="auto"/>
          <w:spacing w:val="0"/>
          <w:sz w:val="19"/>
          <w:lang w:eastAsia="it-IT"/>
        </w:rPr>
        <w:t> </w:t>
      </w:r>
    </w:p>
    <w:p w:rsidR="005B68E0" w:rsidRPr="005B68E0" w:rsidRDefault="001A069C" w:rsidP="001A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5"/>
          <w:szCs w:val="25"/>
          <w:u w:val="single"/>
          <w:lang w:eastAsia="it-IT"/>
        </w:rPr>
      </w:pPr>
      <w:r>
        <w:rPr>
          <w:rFonts w:ascii="Courier New" w:eastAsia="Times New Roman" w:hAnsi="Courier New" w:cs="Courier New"/>
          <w:color w:val="auto"/>
          <w:spacing w:val="0"/>
          <w:sz w:val="25"/>
          <w:szCs w:val="25"/>
          <w:lang w:eastAsia="it-IT"/>
        </w:rPr>
        <w:tab/>
      </w:r>
      <w:r>
        <w:rPr>
          <w:rFonts w:ascii="Courier New" w:eastAsia="Times New Roman" w:hAnsi="Courier New" w:cs="Courier New"/>
          <w:color w:val="auto"/>
          <w:spacing w:val="0"/>
          <w:sz w:val="25"/>
          <w:szCs w:val="25"/>
          <w:lang w:eastAsia="it-IT"/>
        </w:rPr>
        <w:tab/>
        <w:t xml:space="preserve">       </w:t>
      </w:r>
      <w:r w:rsidR="005B68E0" w:rsidRPr="005B68E0">
        <w:rPr>
          <w:rFonts w:ascii="Courier New" w:eastAsia="Times New Roman" w:hAnsi="Courier New" w:cs="Courier New"/>
          <w:color w:val="auto"/>
          <w:spacing w:val="0"/>
          <w:sz w:val="25"/>
          <w:szCs w:val="25"/>
          <w:u w:val="single"/>
          <w:lang w:eastAsia="it-IT"/>
        </w:rPr>
        <w:t xml:space="preserve">Vigente al: 6-7-2021 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</w:p>
    <w:p w:rsidR="005B68E0" w:rsidRPr="001A069C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                           </w:t>
      </w:r>
      <w:r w:rsidRPr="001A069C">
        <w:rPr>
          <w:rFonts w:ascii="Courier New" w:eastAsia="Times New Roman" w:hAnsi="Courier New" w:cs="Courier New"/>
          <w:b/>
          <w:color w:val="auto"/>
          <w:spacing w:val="0"/>
          <w:sz w:val="21"/>
          <w:szCs w:val="21"/>
          <w:lang w:eastAsia="it-IT"/>
        </w:rPr>
        <w:t xml:space="preserve">Art. 1 </w:t>
      </w:r>
    </w:p>
    <w:p w:rsidR="005B68E0" w:rsidRPr="001A069C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color w:val="auto"/>
          <w:spacing w:val="0"/>
          <w:sz w:val="21"/>
          <w:szCs w:val="21"/>
          <w:lang w:eastAsia="it-IT"/>
        </w:rPr>
      </w:pPr>
      <w:r w:rsidRPr="001A069C">
        <w:rPr>
          <w:rFonts w:ascii="Courier New" w:eastAsia="Times New Roman" w:hAnsi="Courier New" w:cs="Courier New"/>
          <w:b/>
          <w:color w:val="auto"/>
          <w:spacing w:val="0"/>
          <w:sz w:val="21"/>
          <w:szCs w:val="21"/>
          <w:lang w:eastAsia="it-IT"/>
        </w:rPr>
        <w:t xml:space="preserve">          Piano nazionale per gli investimenti complementari </w:t>
      </w:r>
    </w:p>
    <w:p w:rsidR="005B68E0" w:rsidRPr="001A069C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color w:val="auto"/>
          <w:spacing w:val="0"/>
          <w:sz w:val="21"/>
          <w:szCs w:val="21"/>
          <w:lang w:eastAsia="it-IT"/>
        </w:rPr>
      </w:pPr>
      <w:r w:rsidRPr="001A069C">
        <w:rPr>
          <w:rFonts w:ascii="Courier New" w:eastAsia="Times New Roman" w:hAnsi="Courier New" w:cs="Courier New"/>
          <w:b/>
          <w:color w:val="auto"/>
          <w:spacing w:val="0"/>
          <w:sz w:val="21"/>
          <w:szCs w:val="21"/>
          <w:lang w:eastAsia="it-IT"/>
        </w:rPr>
        <w:t xml:space="preserve">             al Piano nazionale di ripresa e resilienza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1.  </w:t>
      </w:r>
      <w: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É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approvato  il  Piano   nazionale   per   gli   investimenti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complementari finalizzato ad  integrare  con  risorse  nazionali  gli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interventi  del  Piano  nazionale  di  ripresa   e   resilienza 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complessivi 30.622,46 milioni di euro per gli anni dal 2021 al 2026.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2. Le risorse nazionali degli interventi del 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((Piano nazionale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gli investimenti complementari di cui al  comma  1))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sono  ripartite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come segue: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a) quanto a complessivi 1.750 milioni di euro per  gli  anni  dal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2021 al 2026 da iscrivere, per gli importi e le annualit</w:t>
      </w:r>
      <w: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indicati,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nei pertinenti capitoli  dello  stato  di  previsione  del  Ministero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dell'economia e delle finanze per il trasferimento al bilancio  della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Presidenza del Consiglio dei Ministri  per  i  seguenti  programmi  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interventi: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1. Servizi digitali e cittadinanza digitale: 50 milioni di euro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l'anno 2021, 100 milioni di euro per ciascuno degli anni 2022 e 2023,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50 milioni di euro per l'anno 2024, 40 milioni  di  euro  per  l'anno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2025 e 10 milioni di euro per l'anno 2026;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2. Servizi digitali e competenze digitali: 0,73 milioni di euro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l'anno 2021, 46,81 milioni di euro per l'anno 2022, 26,77 milioni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euro per l'anno 2023, 29,24 milioni di euro per  l'anno  2024,  94,69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milioni di euro per l'anno 2025 e 51,76 milioni di  euro  per  l'anno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2026;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3. Tecnologie satellitari ed economia spaziale:  65,98  milioni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euro per l'anno 2022, 136,09 milioni di euro per l'anno 2023,  202,06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milioni di euro per l'anno 2024, 218,56 milioni di  euro  per  l'anno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2025 e 177,31 milioni di euro per l'anno 2026;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4.  Ecosistemi  per  l'innovazione  al  Sud  in   contesti   urbani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marginalizzati: 70 milioni di euro per ciascuno degli anni  dal  2022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al 2026;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b) quanto a complessivi 1.780 milioni di euro per  gli  anni  dal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2021 al 2026 da iscrivere, per gli importi e le annualit</w:t>
      </w:r>
      <w: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indicati,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nei pertinenti capitoli  dello  stato  di  previsione  del  Ministero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dell'economia e delle finanze riferiti al seguente programma: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  1. Interventi per le aree del terremoto del 2009  e  2016:  220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milioni di euro per l'anno 2021, 720 milioni di euro per l'anno 2022,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320 milioni di euro per l'anno 2023, 280 milioni di euro  per  l'anno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2024, 160 milioni di euro per l'anno 2025 e 80 milioni  di  euro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l'anno 2026;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c) quanto a complessivi 9.760 milioni di euro per  gli  anni  dal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2021 al 2026 da iscrivere, per gli importi e le annualit</w:t>
      </w:r>
      <w: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indicati,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lastRenderedPageBreak/>
        <w:t>nei pertinenti capitoli dello stato di previsione del Ministero delle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infrastrutture e della mobilit</w:t>
      </w:r>
      <w: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sostenibili  riferiti  ai  seguenti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programmi e interventi: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1. 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((Rinnovo delle flotte di bus))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, treni e navi verdi - Bus: 62,12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milioni di euro per l'anno 2022, 80,74 milioni  di  euro  per  l'anno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2023, 159,01 milioni di euro per l'anno 2024, 173,91 milioni di  euro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per l'anno 2025 e 124,22 milioni di euro per l'anno 2026;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2. 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((Rinnovo delle flotte di bus))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, treni e navi verdi -  Navi:  45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milioni di euro per l'anno 2021, 54,2  milioni  di  euro  per  l'anno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2022, 128,8 milioni di euro per l'anno 2023, 222 milioni di euro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l'anno 2024, 200 milioni di euro per l'anno 2025  e  150  milioni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euro per l'anno 2026;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3. 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((Rafforzamento delle linee ferroviarie regionali))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: 150 milioni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di euro per l'anno 2021, 360 milioni di euro  per  l'anno  2022,  405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milioni di euro per l'anno 2023, 376,9 milioni  di  euro  per  l'anno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2024, 248,1 milioni di euro per l'anno 2025 e 10 milioni di euro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l'anno 2026;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  4. 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((Rinnovo del materiale rotabile  e  infrastrutture  per  il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trasporto ferroviario delle merci))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: 60 milioni di  euro  per  l'anno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2021, 50 milioni di euro per l'anno 2022,  40  milioni  di  euro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l'anno 2023, 30 milioni di euro per l'anno 2024 e 20 milioni di  euro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per l'anno 2025;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  5. 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((Strade sicure - Messa in sicurezza e implementazione di un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sistema di monitoraggio dinamico per il controllo da remoto di ponti,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viadotti e tunnel (A24-A25))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): 150 milioni di euro per ciascuno degli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anni 2021 e 2022, 90 milioni di euro per l'anno 2023, 337 milioni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euro per l'anno 2024, 223 milioni  di  euro  per  l'anno  2025  e  50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milioni di euro per l'anno 2026;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  6.  Strade  sicure  -  Implementazione   di   un   sistema 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monitoraggio dinamico per il controllo da remoto di 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((ponti, viadotti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e tunnel della rete viaria  principale))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:  25  milioni  di  euro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l'anno 2021, 50 milioni di euro per l'anno 2022, 100 milioni di  euro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per ciascuno degli anni 2023, 2024 e 2025 e 75 milioni  di  euro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l'anno 2026;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  7. Sviluppo dell'accessibilit</w:t>
      </w:r>
      <w: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marittima  e  della  resilienza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delle infrastrutture portuali ai cambiamenti climatici:  300  milioni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di euro per l'anno 2021, 400 milioni di euro  per  l'anno  2022,  320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milioni di euro per l'anno 2023, 270 milioni di euro per l'anno 2024,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130 milioni di euro per l'anno 2025 e 50 milioni di euro  per  l'anno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2026;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  8. Aumento selettivo della capacit</w:t>
      </w:r>
      <w: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portuale:  72  milioni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euro per l'anno 2021, 85 milioni di euro per l'anno 2022, 83  milioni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di euro per l'anno 2023, 90 milioni di euro  per  l'anno  2024  e  60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milioni di euro per l'anno 2025;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  9. Ultimo/Penultimo miglio ferroviario/stradale: 20,41  milioni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di euro per l'anno 2021, 52,79 milioni di euro per l'anno 2022, 68,93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milioni di euro per l'anno 2023, 46,65 milioni  di  euro  per  l'anno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2024, 47,79 milioni di euro per l'anno 2025 e 13,43 milioni  di  euro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per l'anno 2026;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  10. Efficientamento energetico: 3 milioni di  euro  per  l'anno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2021, 7 milioni di euro per l'anno 2022 e  10  milioni  di  euro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ciascuno degli anni dal 2023 al 2026;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  11.  Elettrificazione   delle   banchine   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 (</w:t>
      </w:r>
      <w:proofErr w:type="spellStart"/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Cold</w:t>
      </w:r>
      <w:proofErr w:type="spellEnd"/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 </w:t>
      </w:r>
      <w:proofErr w:type="spellStart"/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ironing</w:t>
      </w:r>
      <w:proofErr w:type="spellEnd"/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),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attraverso un sistema alimentato, ove l'energia  non  provenga  dalla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lastRenderedPageBreak/>
        <w:t>rete di trasmissione nazionale, da fonti green rinnovabili o, qualora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queste non siano disponibili, da biogas o, in sua  mancanza,  da  gas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naturale))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: 80 milioni di euro per l'anno 2021, 150 milioni  di  euro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per l'anno 2022, 160 milioni di euro per l'anno 2023, 140 milioni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euro per l'anno 2024, 160 milioni  di  euro  per  l'anno  2025  e  10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milioni di euro per l'anno 2026;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  12.  Strategia   Nazionale   Aree   Interne   -   Miglioramento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dell'accessibilit</w:t>
      </w:r>
      <w: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e della  sicurezza  delle  strade,  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((inclusa  la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manutenzione straordinaria anche  rispetto  a  fenomeni  di  dissesto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idrogeologico o a situazioni di limitazione della circolazione))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:  20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milioni di euro per l'anno 2021, 50 milioni di euro per l'anno  2022,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30 milioni di euro per l'anno 2023, 50 milioni  di  euro  per  l'anno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2024, 100 milioni di euro per l'anno 2025 e 50 milioni  di  euro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l'anno 2026;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  13. Sicuro, verde e sociale: 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((riqualificazione dell'edilizia))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residenziale pubblica: 200 milioni  di  euro  per  l'anno  2021,  400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milioni di euro per l'anno 2022 e 350 milioni di  euro  per  ciascuno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degli anni dal 2023 al 2026;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d) quanto a complessivi 1.455,24 milioni di euro per gli anni dal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2021 al 2026 da iscrivere, per gli importi e le annualit</w:t>
      </w:r>
      <w: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indicati,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nei pertinenti capitoli dello stato di previsione del Ministero della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cultura riferiti al seguente programma: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  1. Piano di investimenti strategici 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((su siti))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del  patrimonio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culturale, edifici e aree naturali: 207,7 milioni di euro per  l'anno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2021, 355,24 milioni di euro per l'anno 2022, 284,9 milioni  di  euro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per l'anno 2023, 265,1 milioni di euro per l'anno 2024,  260  milioni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di euro per l'anno 2025 e 82,3 milioni di euro per l'anno 2026;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e) quanto a complessivi 2.387,41 milioni di euro per gli anni dal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2021 al 2026 da iscrivere, per gli importi e le annualit</w:t>
      </w:r>
      <w: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indicati,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nei pertinenti capitoli dello stato di previsione del Ministero della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salute riferiti ai seguenti programmi e interventi: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1. 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((Salute, ambiente, biodiversit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e clima))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:  51,49  milioni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euro per l'anno 2021, 128,09 milioni di euro per l'anno 2022,  150,88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milioni di euro per l'anno 2023, 120,56 milioni di  euro  per  l'anno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2024, 46,54 milioni di euro per l'anno 2025 e 2,45  milioni  di  euro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per l'anno 2026;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2. Verso un ospedale sicuro e sostenibile: 250 milioni di euro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l'anno 2021, 390 milioni di euro per l'anno 2022, 300 milioni di euro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per l'anno 2023, 250 milioni di euro per l'anno 2024, 140 milioni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euro per l'anno 2025 e 120 milioni di euro per l'anno 2026;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3. Ecosistema innovativo della  salute:  10  milioni  di  euro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l'anno 2021, 105,28 milioni di euro per l'anno 2022,  115,28  milioni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di euro per l'anno 2023, 84,28 milioni di euro per l'anno 2024, 68,28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milioni di euro per l'anno 2025 e 54,28 milioni di  euro  per  l'anno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2026;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f) quanto a complessivi 6.880 milioni di euro per  gli  anni  dal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2021 al 2026 da iscrivere, per gli importi e le annualit</w:t>
      </w:r>
      <w: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indicati,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nei pertinenti capitoli dello stato di previsione del Ministero dello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sviluppo economico riferiti ai seguenti programmi e interventi: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1. «Polis» - Case dei servizi di cittadinanza digitale: 125 milioni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di euro per l'anno 2022, 145 milioni di euro per l'anno 2023,  162,62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milioni di euro per l'anno 2024, 245 milioni di euro per l'anno  2025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e 122,38 milioni di euro per l'anno 2026;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2. Transizione 4.0: 704,5 milioni di euro per l'anno 2021, 1.414,95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lastRenderedPageBreak/>
        <w:t>milioni di euro per l'anno 2022, 1.624,88 milioni di euro per  l'anno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2023, 989,17 milioni di euro per l'anno 2024, 324,71 milioni di  euro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per l'anno 2025 e 21,79 milioni di euro per l'anno 2026;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3. Accordi per l'Innovazione: 100 milioni di euro per l'anno  2021,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150 milioni di euro per  l'anno  2022  e  250  milioni  di  euro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ciascuno degli anni dal 2023 al 2025;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g) quanto a complessivi 132,9 milioni di euro per  gli  anni  dal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2022 al 2026 da iscrivere, per gli importi e le annualit</w:t>
      </w:r>
      <w: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indicati,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nei pertinenti capitoli dello stato di previsione del Ministero della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giustizia riferiti al seguente programma e intervento: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  1. Costruzione  e  miglioramento  di  padiglioni  e  spazi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strutture penitenziarie per adulti e minori: 2,5 milioni di euro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l'anno 2022, 19 milioni di euro per l'anno 2023, 41,5 milioni di euro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per l'anno 2024, 57 milioni di euro per l'anno 2025 e 12,9 milioni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euro per l'anno 2026;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h) quanto a complessivi 1.203,3 milioni  di  euro  per  gli  anni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((dal 2021 al 2026))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da iscrivere, per gli importi  e  le  annualit</w:t>
      </w:r>
      <w: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à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indicati, nei pertinenti  capitoli  dello  stato  di  previsione  del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((Ministero  delle  politiche  agricole  alimentari))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e   forestali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riferiti al seguente programma e intervento: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  1.  Contratti  di  filiera  e  distrettuali  per  i   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((settori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agroalimentare, della pesca e dell'acquacoltura, della  silvicoltura,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della floricoltura e del </w:t>
      </w:r>
      <w:proofErr w:type="spellStart"/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vivaismo</w:t>
      </w:r>
      <w:proofErr w:type="spellEnd"/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))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: 200 milioni di euro  per  l'anno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2021, 300,83 milioni di euro per ciascuno  degli  anni  dal  2022  al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2023, 258,81 milioni di euro per l'anno 2024, 122,5 milioni  di  euro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per l'anno 2025 e 20,33 milioni di euro per l'anno 2026. 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((Il 25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cento  delle  predette  somme  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é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 destinato   esclusivamente   alle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produzioni biologiche italiane ottenute conformemente alla  normativa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europea e a quella nazionale di settore))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i) quanto a complessivi 500 milioni di euro per gli anni dal 2022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al 2026 da iscrivere, per gli importi e le annualit</w:t>
      </w:r>
      <w: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indicati,  nei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pertinenti  capitoli  dello  stato  di   previsione   del   Ministero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dell'universit</w:t>
      </w:r>
      <w: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e della ricerca riferiti  al  seguente  programma  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intervento: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  1. Iniziative di ricerca per tecnologie e  percorsi  innovativi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in ambito sanitario e assistenziale: 100 milioni di euro per ciascuno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degli anni dal 2022 al 2026;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l) quanto a complessivi 210 milioni di euro per gli anni dal 2021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al 2024 da iscrivere, per gli importi e le annualit</w:t>
      </w:r>
      <w: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indicati,  nei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pertinenti  capitoli  dello  stato  di   previsione   del   Ministero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dell'interno riferiti al seguente programma e intervento: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  1. Piani urbani integrati: 80  milioni  di  euro  per  ciascuno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degli anni 2021 e 2022, 30 milioni di euro nel 2023 e 20  milioni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euro nell'anno 2024;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m) quanto a 910 milioni di euro per l'anno 2023, 829,9 milioni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euro per l'anno 2024, 1.439,9 milioni  di  euro  per  l'anno  2025  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1.383,81 milioni di euro per l'anno 2026 per il  finanziamento  degli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interventi di cui ai commi 3 e 4.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((2-bis. Al fine di favorire la realizzazione  di  investimenti  in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materia di mobilit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in tutto  il  territorio  nazionale  nonch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é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ridurre il  divario  infrastrutturale  tra  le  diverse  regioni,  le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risorse di cui al comma 2, lettera c), punti 1 e  3,  sono  destinate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alle regioni Abruzzo, Molise, Campania, Basilicata, Calabria, Puglia,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Sicilia e Sardegna rispettivamente in misura almeno pari  al  50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lastRenderedPageBreak/>
        <w:t xml:space="preserve">cento e all'80 per cento.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2-ter. Le risorse di cui al comma 2,  lettera  c),  punto  2,  sono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destinate: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a) nella misura di 18 milioni di euro  per  l'anno  2021,  di  17,2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milioni di euro per l'anno 2022, di 56,5 milioni di euro  per  l'anno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2023, di 157,6 milioni di euro per l'anno 2024,  di  142  milioni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euro per l'anno 2025 e di 108,7 milioni  di  euro  per  l'anno  2026,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all'erogazione, fino a concorrenza delle risorse disponibili,  di  un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contributo di importo  non  superiore  al  50  per  cento  dei  costi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necessari per il rinnovo ovvero l'ammodernamento delle navi, anche in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fase di costruzione delle stesse;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b) nella misura di 20 milioni  di  euro  per  l'anno  2021,  di  30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milioni di euro per l'anno 2022 e di 30 milioni di  euro  per  l'anno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2023, al rinnovo ovvero all'acquisto, da parte  di  Rete  ferroviaria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italiana Spa, di unit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navali  impiegate  nel  traghettamento  nello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Stretto  di  Messina  per  i  servizi  ferroviari   di   collegamento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passeggeri e merci ovvero nel traghettamento veloce  dei  passeggeri.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Tali risorse si intendono immediatamente  disponibili  alla  data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entrata in vigore della legge di conversione del presente decreto, ai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fini dell'assunzione di impegni giuridicamente vincolanti;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c) nella misura di 7 milioni di euro per ciascuno degli anni 2021 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2022, di 42,3 milioni di euro per l'anno 2023,  di  64,4  milioni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euro per l'anno 2024, di 58 milioni di euro per l'anno 2025 e di 41,3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milioni di euro per l'anno 2026,  al  finanziamento,  in  misura  non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superiore al 50 per cento del relativo costo, di interventi destinati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alla realizzazione di impianti di liquefazione di  gas  naturale  sul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territorio nazionale necessari alla </w:t>
      </w:r>
      <w:proofErr w:type="spellStart"/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decarbonizzazione</w:t>
      </w:r>
      <w:proofErr w:type="spellEnd"/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dei trasporti 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in  particolare  nel  settore  marittimo,   nonch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é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 di   punti 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rifornimento di gas naturale liquefatto (</w:t>
      </w:r>
      <w:proofErr w:type="spellStart"/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GNL</w:t>
      </w:r>
      <w:proofErr w:type="spellEnd"/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)  e  </w:t>
      </w:r>
      <w:proofErr w:type="spellStart"/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Bio-GNL</w:t>
      </w:r>
      <w:proofErr w:type="spellEnd"/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in  ambito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portuale con le relative capacit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di stoccaggio,  e  per  l'acquisto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delle  unit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navali  necessarie  a  sostenere   le   attivit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bunkeraggio a partire dai terminali di </w:t>
      </w:r>
      <w:proofErr w:type="spellStart"/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rigassificazione</w:t>
      </w:r>
      <w:proofErr w:type="spellEnd"/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nazionali.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2-quater. Con decreto del Ministro  delle  infrastrutture  e  della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mobilit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sostenibili, da  adottare,  di  concerto  con  il  Ministro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dell'economia e delle finanze, entro  trenta  giorni  dalla  data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entrata in vigore della legge di conversione  del  presente  decreto,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sono stabiliti: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a) le modalit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di assegnazione delle risorse di cui  al  comma  2,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lettera c), punto 4,  finalizzate  all'erogazione  di  contributi  in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favore delle imprese del settore ferroviario merci e della  logistica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che  svolgono  le  proprie  attivit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sul  territorio  nazionale.  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contributi sono destinati al finanziamento, in misura  non  superiore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al 50 per cento, dell'acquisto di nuovi carri, locomotive e mezzi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movimentazione per il trasporto merci ferroviario anche nei  terminal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intermodali, nonch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é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al  finanziamento,  nella  misura  del  100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cento, di interventi destinati all'efficientamento ecosostenibile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raccordi ferroviari di Rete ferroviaria italiana Spa;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b) la tipologia e i parametri tecnici degli  interventi  ammessi  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finanziamento ai sensi  delle  lettere  a)  e  c)  del  comma  2-ter,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l'entit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del  contributo  riconoscibile,  ai  sensi  delle   citate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lettere, per ciascuna delle tipologie di intervento e le modalit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le condizioni di erogazione dello stesso.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2-quinquies. Le risorse di cui al comma 2, lettera  c),  punto  12,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sono destinate, al fine di assicurare l'efficacia e la sostenibilit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lastRenderedPageBreak/>
        <w:t>nel tempo della  strategia  nazionale  per  lo  sviluppo  delle  aree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interne del Paese, con particolare riferimento alla promozione  e  al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miglioramento   dell'accessibilit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 delle    aree    interne,    al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finanziamento di interventi di  messa  in  sicurezza  e  manutenzione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straordinaria della rete viaria delle medesime aree anche rispetto  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fenomeni di dissesto idrogeologico  o  a  situazioni  di  limitazione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della circolazione. Con decreto del Ministro delle  infrastrutture  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della mobilit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sostenibili, di concerto con il Ministro per il Sud 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la coesione territoriale e con  il  Ministro  dell'economia  e  delle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finanze,  previa  intesa  in  sede  di  Conferenza  </w:t>
      </w:r>
      <w:proofErr w:type="spellStart"/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Stato-citt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proofErr w:type="spellEnd"/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 ed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autonomie locali, da adottare entro quarantacinque giorni dalla  data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di entrata in vigore della legge di conversione del presente decreto,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si provvede alla ripartizione delle  risorse  tra  le  aree  interne,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sulla base dei seguenti criteri: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a) entit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della popolazione residente;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b) estensione delle strade statali, provinciali e comunali  qualora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queste ultime rappresentino l'unica comunicazione esistente tra due 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pi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ù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comuni appartenenti all'area interna;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c) esistenza di rischi derivanti dalla classificazione sismica  dei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territori e dall'accelerazione sismica;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d) esistenza di situazioni di  dissesto  idrogeologico  e  relativa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entit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.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2-sexies. Ai fini dell'assegnazione delle risorse di cui  al  comma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2-quinquies, si tiene conto, in modo prevalente, dei criteri  di  cui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alle lettere a) e b) del medesimo comma 2-quinquies, complessivamente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considerati.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2-septies. Al fine  di  favorire  l'incremento  del  patrimonio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edilizia residenziale  pubblica  di  propriet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delle  regioni,  dei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comuni e degli ex Istituti autonomi per le  case  popolari,  comunque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denominati, costituiti anche in forma societaria, nonch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é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degli  enti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di edilizia residenziale pubblica aventi le stesse finalit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degli ex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Istituti autonomi per le case popolari, le risorse di cui al comma 2,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lettera c), punto 13, sono destinate al finanziamento di un programma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di  interventi   di   riqualificazione   dell'edilizia   residenziale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pubblica, ivi compresi interventi  di  demolizione  e  ricostruzione,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avente ad oggetto la realizzazione anche in forma congiunta di: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a) interventi  diretti  alla  verifica  e  alla  valutazione  della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sicurezza sismica e  statica  di  edifici  di  edilizia  residenziale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pubblica e progetti di miglioramento o di adeguamento sismico;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b) interventi di efficientamento energetico di alloggi o di edifici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di  edilizia  residenziale  pubblica,  ivi   comprese   le   relative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progettazioni;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c)  interventi  di  razionalizzazione  degli  spazi   di   edilizia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residenziale pubblica, ivi compresi gli interventi di frazionamento 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ridimensionamento degli alloggi, se  eseguiti  congiuntamente  a  uno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degli interventi di cui alle lettere a) e b);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d) interventi di riqualificazione degli spazi pubblici, se eseguiti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congiuntamente a uno degli interventi di cui alle lettere  a)  e  b),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ivi compresi i progetti di miglioramento e valorizzazione delle  aree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verdi, dell'ambito urbano di pertinenza  degli  immobili  oggetto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intervento;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e)  operazioni  di  acquisto  di  immobili,   da   destinare   alla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sistemazione temporanea degli  assegnatari  di  alloggi  di  edilizia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residenziale pubblica oggetto degli interventi di cui alle lettere a)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lastRenderedPageBreak/>
        <w:t>e b), a condizione che gli immobili da  acquistare  siano  dotati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caratteristiche energetiche  e  antisismiche  almeno  pari  a  quelle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indicate come  requisito  minimo  da  raggiungere  per  gli  immobili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oggetto degli interventi di cui alle medesime lettere a) e  b).  Alle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finalit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di cui alla  presente  lettera  pu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ò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essere  destinato  un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importo non superiore al 10 per cento del totale delle risorse;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f) operazioni di locazione di alloggi da destinare  temporaneamente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agli assegnatari di alloggi di edilizia residenziale pubblica oggetto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degli interventi di cui alle lettere a) e b).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2-octies. Gli interventi finanziati con le risorse di cui al  comma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2, lettera c), punto 13, non sono ammessi  alle  detrazioni  previste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dall'articolo  119  del  decreto-legge  19  maggio   2020,   n.   34,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convertito, con modificazioni, dalla legge 17 luglio 2020, n. 77.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2-novies. Con decreto del Presidente del Consiglio dei ministri, da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adottare entro quarantacinque giorni dalla data di entrata in  vigore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della legge di conversione del  presente  decreto,  su  proposta  del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Ministro delle  infrastrutture  e  della  mobilit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sostenibili,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concerto con il Ministro dell'economia e delle finanze e  sentito  il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Dipartimento Casa Italia della Presidenza del Consiglio dei ministri,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previa intesa in sede di Conferenza unificata di cui  all'articolo  8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del decreto legislativo 28 agosto 1997, n. 281: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a) sono individuati gli indicatori di  riparto  su  base  regionale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delle risorse di cui al comma 2-septies, tenuto conto del  numero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alloggi  di  edilizia  residenziale  pubblica  presenti  in  ciascuna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regione,  dell'entit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della  popolazione  residente  nella  regione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nonch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é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dell'entit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della popolazione regionale residente nelle zone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sismiche 1 e 2;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b) sono  stabiliti  le  modalit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e  i  termini  di  ammissione  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finanziamento degli interventi,  con  priorit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per  gli  interventi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effettuati nelle zone sismiche 1 e 2, per quelli che prevedono azioni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congiunte  sia  di   miglioramento   di   classe   sismica   sia 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efficientamento energetico, nonch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é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per quelli in relazione ai  quali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sia gi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disponibile almeno il progetto di  fattibilit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tecnica  ed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economica di cui all'articolo 23 del codice dei  contratti  pubblici,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di cui al decreto legislativo 18 aprile 2016, n. 50;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c) sono disciplinate le modalit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di erogazione dei finanziamenti.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</w:t>
      </w:r>
      <w:r w:rsidRPr="00386F38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2-decies.  Al  fine  di  incrementare  il  patrimonio  di  edilizia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residenziale pubblica,  le  risorse  del  Programma  di  recupero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immobili  e  alloggi  di  edilizia  residenziale  pubblica,  di   cui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all'articolo 4 del decreto-legge 28 marzo 2014,  n.  47,  convertito,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con modificazioni, dalla legge 23 maggio 2014, n. 80,  sono  altres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ì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destinate a: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  a) interventi di ristrutturazione e riqualificazione di alloggi 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immobili gi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destinati a edilizia residenziale pubblica;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  b) interventi finalizzati al riutilizzo, al completamento o  alla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riconversione a edilizia residenziale sociale di immobili pubblici  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privati  in  disuso,  sfitti  o  abbandonati,  liberi  da   qualunque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vincolo.))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3. All'articolo 119  del  decreto-legge  19  maggio  2020,  n.  34,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convertito, con modificazioni, dalla legge 17  luglio  2020,  n.  77,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sono apportate le seguenti modificazioni: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a) al comma 3-bis, le parole «31 dicembre 2022»  sono  sostituite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dalle seguenti: «30 giugno 2023»;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b) il comma 8-bis </w:t>
      </w:r>
      <w: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é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sostituito dal  seguente:  «8-bis.  Per  gli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lastRenderedPageBreak/>
        <w:t>interventi effettuati dalle  persone  fisiche  di  cui  al  comma  9,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lettera a), per i quali alla data del  30  giugno  2022  siano  stati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effettuati  lavori  per  almeno  il  60  per  cento   dell'intervento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complessivo, la detrazione del 110 per  cento  spetta  anche  per  le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spese sostenute  entro  il  31  dicembre  2022.  Per  gli  interventi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effettuati dai condomini di cui al comma 9, lettera a), la detrazione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del 110 per cento spetta anche per le spese  sostenute  entro  il  31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dicembre 2022. Per gli interventi effettuati dai soggetti di  cui  al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comma 9, lettera c), per i quali alla data del 30 giugno  2023  siano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stati effettuati lavori per almeno il 60  per  cento  dell'intervento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complessivo, la detrazione del 110 per  cento  spetta  anche  per  le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spese sostenute entro il 31 dicembre 2023.».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4. La copertura di parte degli oneri di cui all'articolo  1,  comma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73, della legge 30 dicembre 2020, n. 178, pari a 1.655,4  milioni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euro per l'anno 2023, a 1.468,9 milioni di euro per  l'anno  2024,  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1.376,1 milioni di euro per l'anno 2025 e a 1.274 milioni di euro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l'anno 2026, a valere sulle risorse  previste  per  l'attuazione  del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progetto nell'ambito del Piano nazionale di ripresa e  resilienza  ai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sensi dei commi da 1037 a 1050  della  legge  n.  178  del  2020,  </w:t>
      </w:r>
      <w: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é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rideterminata in 1.315,4 milioni di euro per l'anno 2023, in  1.310,9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milioni di euro per l'anno 2024, in 560,1 milioni di euro per  l'anno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2025 e in 505,79 milioni di euro per l'anno 2026.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5. Fermo restando quanto previsto dal comma 3, gli eventuali minori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oneri previsti anche in via  prospettica  rilevati  dal  monitoraggio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degli  effetti  dell'agevolazione  di  cui  all'articolo   119,   del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decreto-legge 19 maggio 2020, n. 34, convertito,  con  modificazioni,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dalla  legge  17  luglio  2020,  n.  77,  rispetto  alla   previsione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tendenziale, sono vincolati alla proroga del termine della  fruizione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della citata agevolazione, da definire con  successivi  provvedimenti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legislativi. Il monitoraggio di cui al primo  periodo  </w:t>
      </w:r>
      <w: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é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effettuato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dal Ministero dell'economia e  delle  finanze  -  Dipartimento  delle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finanze sulla  base  dei  dati  comunicati  con  cadenza  trimestrale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dall'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((Agenzia nazionale per le  nuove  tecnologie,  l'energia  e  lo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sviluppo   economico   sostenibile   (ENEA) ))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e   i    conseguenti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aggiornamenti delle stime sono comunicati alle competenti commissioni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parlamentari della Camera dei deputati e del Senato della Repubblica.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6.  Agli  interventi  ricompresi  nel  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((Piano  nazionale  per  gli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investimenti complementari))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si applicano, in quanto compatibili,  le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procedure  di  semplificazione  e   accelerazione,   le   misure 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trasparenza e conoscibilit</w:t>
      </w:r>
      <w: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dello stato di avanzamento stabilite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il Piano nazionale di ripresa e resilienza. 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((Allo scopo di agevolare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la realizzazione degli interventi previsti dal comma 2,  lettera  f),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punto 1, dalla data di entrata in vigore della legge  di  conversione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del presente decreto e fino al 31 dicembre 2023, le  disposizioni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cui al comma 2-quater dell'articolo 8 della legge 10 ottobre 1990, n.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287, non si applicano ai soggetti individuati per l'attuazione  degli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interventi suddetti.))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7. Ai fini del monitoraggio degli interventi, entro  trenta  giorni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dalla data di entrata in vigore del presente decreto, con decreto del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Ministro dell'economia e delle finanze, sono individuati per  ciascun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intervento o programma gli obiettivi  iniziali,  intermedi  e  finali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determinati in relazione al cronoprogramma finanziario e coerenti con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gli impegni assunti nel 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((Piano nazionale di ripresa  e  resilienza))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con la Commissione europea sull'incremento della capacit</w:t>
      </w:r>
      <w: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di  spesa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lastRenderedPageBreak/>
        <w:t>collegata all'attuazione degli interventi del Piano nazionale per gli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investimenti  complementari.   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((Le   informazioni   necessarie 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l'attuazione degli investimenti di  cui  al  presente  articolo  sono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rilevate attraverso il sistema di  monitoraggio  di  cui  al  decreto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legislativo 29 dicembre 2011, n. 229, e i  sistemi  collegati.  Negli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altri casi e, comunque, per i programmi e gli interventi cofinanziati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dal Piano nazionale di ripresa e resilienza 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é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utilizzato il  sistema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informatico di  cui  all'articolo  1,  comma  1043,  della  legge  30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dicembre 2020, n. 178.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7-bis.  Fatte  salve  le  procedure  applicabili  ai  programmi  ed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interventi cofinanziati dal Piano nazionale di ripresa  e  resilienza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ai sensi dell'articolo 14, comma 1, ultimo periodo, del decreto-legge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31 maggio 2021, n. 77, e fermo restando  anche  quanto  previsto  dal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medesimo articolo 14, comma 1, primo periodo, il mancato rispetto dei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termini previsti dal cronoprogramma procedurale degli  adempimenti  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la mancata alimentazione dei sistemi di  monitoraggio  comportano  la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revoca del finanziamento ai sensi del  presente  comma,  qualora  non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risultino   assunte   obbligazioni   giuridicamente   vincolanti.   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provvedimenti di revoca sono adottati dal  Ministro  a  cui  risponde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l'amministrazione centrale titolare dell'intervento. Nel caso in  cui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il soggetto attuatore sia la stessa amministrazione centrale, nonch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é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per gli interventi di cui al comma 2, lettera b), punto 1, la  revoca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é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disposta con decreto del Presidente del Consiglio dei ministri  su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proposta del Ministro  dell'economia  e  delle  finanze.  Le  risorse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disponibili per  effetto  delle  revoche,  anche  iscritte  in  conto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residui, sono riprogrammate con uno o pi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ù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decreti del Presidente del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Consiglio dei ministri, su  proposta  del  Ministro  dell'economia  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delle  finanze,  secondo  criteri  premianti  nei   confronti   delle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amministrazioni che abbiano riportato  i  migliori  dati  di  impiego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delle risorse. Per  le  risorse  oggetto  di  revoca,  i  termini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conservazione dei residui di cui all'articolo 34-bis, commi  3  e  4,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della legge 31  dicembre  2009,  n.  196,  decorrono  nuovamente  dal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momento dell'iscrizione nello stato di  previsione  di  destinazione.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Qualora le somme oggetto di revoca siano state  gi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trasferite  dal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bilancio dello Stato, le stesse devono essere tempestivamente versate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all'entrata   del   bilancio   dello   Stato   per   la    successiva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riassegnazione, al fine di consentirne  l'utilizzo  previsto  con  la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riprogrammazione disposta con il decreto del Presidente del Consiglio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dei  ministri.  Il  Ministro  dell'economia  e   delle   finanze   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é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autorizzato ad apportare le occorrenti variazioni di  bilancio  anche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in conto residui. In caso di mancato versamento delle predette  somme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da parte degli enti locali delle regioni a statuto  ordinario,  della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Regione siciliana e della regione Sardegna, il  recupero  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é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operato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con le procedure di cui all'articolo 1, commi 128 e 129, della  legge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24 dicembre 2012, n. 228. Per gli enti locali  delle  regioni  Friuli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Venezia Giulia e Valle d'Aosta e delle province autonome di Trento  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di Bolzano, in caso di mancato  versamento,  le  predette  regioni  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province autonome assoggettano i propri  enti  ad  una  riduzione  in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corrispondente  misura  dei  trasferimenti  correnti  erogati   dalle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medesime   regioni    o    province    autonome    che    provvedono,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conseguentemente, a riversare all'entrata del bilancio dello Stato le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somme recuperate. In  caso  di  mancato  versamento  da  parte  delle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regioni e delle province autonome si procede al recupero delle  somme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dovute a valere sulle giacenze  depositate  a  qualsiasi  titolo  nei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lastRenderedPageBreak/>
        <w:t xml:space="preserve">conti aperti presso la tesoreria statale.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7-ter. L'attuazione degli investimenti di cui al comma  2,  lettera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e), costituisce adempimento ai  fini  dell'accesso  al  finanziamento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integrativo del Servizio  sanitario  nazionale  ai  fini  e  per  gli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effetti dell'articolo  2,  comma  68,  lettera  c),  della  legge  23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dicembre  2009,  n.  191,  come  prorogato,  a  decorrere  dal  2013,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dall'articolo 15, comma 24, del decreto-legge 6 luglio 2012,  n.  95,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convertito, con modificazioni, dalla legge 7 agosto 2012, n.  135,  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la  relativa  verifica  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é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effettuata  congiuntamente  dal  Comitato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permanente per la verifica dell'erogazione dei livelli essenziali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assistenza  e  dal  Tavolo  di  verifica  degli  adempimenti  di  cui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rispettivamente all'articolo 9 e all'articolo 12 dell'intesa  tra  lo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Stato, le regioni e le province  autonome  di  Trento  e  di  Bolzano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sancita in data 23 marzo 2005.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7-quater. Fermo restando il rispetto del cronoprogramma finanziario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e procedurale previsto dal presente articolo e dal decreto di cui  al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comma 7, alla ripartizione delle risorse per la  concreta  attuazione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degli interventi di cui al comma 2, lettera d), punto 1, si  provvede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con decreto del Presidente del Consiglio dei  ministri,  su  proposta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del Ministro della cultura, di concerto con il Ministro dell'economia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e delle finanze, da adottare entro  quindici  giorni  dalla  data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entrata in vigore della legge di conversione del presente decreto.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7-quinquies.  A  partire  dall'anno  2022  e  fino  alla   completa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realizzazione del Piano nazionale per gli investimenti complementari,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é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presentata annualmente alle Camere, unitamente alla relazione gi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prevista dall'articolo 7-bis, comma 3, del decreto-legge 29  dicembre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2016, n. 243, convertito, con modificazioni, dalla legge 27  febbraio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2017, n.  18,  una  relazione  sulla  ripartizione  territoriale  dei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programmi e degli interventi di cui al  comma  2,  anche  sulla  base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delle risultanze dei sistemi di monitoraggio di cui al comma 7.))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8. L'attuazione degli  interventi  di  cui  al  presente  articolo,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soggetti alla procedura  di  notifica  ai  sensi  dell'articolo  108,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paragrafo 3, del Trattato sul funzionamento dell'Unione europea, 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é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subordinata alla))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previa autorizzazione della  Commissione  europea.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((Le amministrazioni attuano  gli  interventi  ricompresi  nel  Piano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nazionale per gli  investimenti  complementari  in  coerenza  con  il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principio dell'assenza  di  un  danno  significativo  agli  obiettivi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ambientali, di cui all'articolo 17 del regolamento (UE) 2020/852  del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Parlamento europeo e del Consiglio, del 18 giugno 2020.))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9. Agli oneri derivanti dal  presente  articolo,  determinati  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((in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3.005,53 milioni di euro))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per l'anno 2021, 6.053,59 milioni di  euro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per l'anno 2022, 6.859,40 milioni di euro per l'anno  2023,  6.184,80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milioni di euro per l'anno 2024, 5.459,98 milioni di euro per  l'anno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2025 e 3.201,96 milioni di euro per l'anno 2026, 70,9 milioni di euro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per l'anno 2027, 6,4 milioni di euro per l'anno 2028, 10,1 milioni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euro per l'anno 2033 e 3,4 milioni  di  euro  per  l'anno  2034,  che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aumentano, ai fini della compensazione degli effetti  in  termini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indebitamento netto, in 3.585,98 milioni di  euro  per  l'anno  2026,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2.809,90 milioni di euro per l'anno 2027, 2.806,40  milioni  di  euro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per l'anno 2028, 2.524,01 milioni di euro per l'anno  2029,  1.431,84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milioni di euro per l'anno 2030, si provvede ai  sensi  dell'articolo</w:t>
      </w:r>
    </w:p>
    <w:p w:rsid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5. </w:t>
      </w:r>
    </w:p>
    <w:p w:rsidR="001A069C" w:rsidRDefault="001A069C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</w:p>
    <w:p w:rsidR="001A069C" w:rsidRPr="005B68E0" w:rsidRDefault="001A069C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lastRenderedPageBreak/>
        <w:t xml:space="preserve">                            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((Art. 1 bis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          Misure di semplificazione per gli investimenti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1. Ai fini della corretta programmazione finanziaria delle  risorse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e dell'erogazione dei contributi concessi per la progettazione  e  la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realizzazione di investimenti relativi a interventi di spesa in conto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capitale,   limitatamente   a   quelli   indicati   all'articolo   1,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l'amministrazione erogante i predetti contributi verifica tramite  il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sistema di cui al decreto legislativo 29 dicembre  2011,  n.  229,  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quelli ad esso collegati, l'avvenuta esecuzione da parte  degli  enti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beneficiari dei relativi adempimenti amministrativi, ivi compresi: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a) la presentazione dell'istanza di finanziamento nel  rispetto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quanto previsto dall'articolo 11 della legge 16 gennaio 2003, n. 3;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b) l'affidamento dei relativi contratti;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c) l'emissione di stati di avanzamento dei lavori;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d) il monitoraggio fisico della realizzazione dell'intervento;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e) la chiusura contabile e di cantiere dell'intervento;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f) la chiusura del codice unico di progetto di cui all'articolo  11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della citata legge n. 3 del 2003.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2. Le amministrazioni eroganti i  contributi  hanno  pieno  accesso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alle funzioni e ai dati dei sistemi di cui al comma 1.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3. Il comma 144 dell'articolo 1 della legge 30  dicembre  2018,  n.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145, 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é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sostituito dal seguente: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«144. I contributi assegnati con il decreto di  cui  al  comma  141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sono erogati dal Ministero dell'interno agli enti beneficiari per  il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20 per cento entro  il  28  febbraio  dell'anno  di  riferimento  del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contributo, per il 70 per cento sulla base degli stati di avanzamento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dei lavori e per il restante 10  per  cento  previa  trasmissione  al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Ministero dell'interno del certificato di collaudo o del  certificato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di regolare esecuzione rilasciato per  i  lavori  dal  direttore  dei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lavori, ai sensi dell'articolo 102  del  codice  di  cui  al  decreto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legislativo 18 aprile 2016, n. 50. I relativi passaggi amministrativi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sono altres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ì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rilevati tramite il sistema di monitoraggio di  cui  al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comma 146».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4. All'articolo 1, comma 51-bis, della legge 27 dicembre  2019,  n.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160, 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é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aggiunto, in fine, il seguente periodo: «Qualora  l'ammontare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dei contributi assegnati con il decreto di cui al terzo  periodo  sia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inferiore alle risorse disponibili, le  risorse  residue  per  l'anno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2021 sono finalizzate allo scorrimento della graduatoria dei progetti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ammissibili per l'anno 2021».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5. All'articolo 1, comma 139-bis, della legge 30 dicembre 2018,  n.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145, sono apportate le seguenti modificazioni: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a)  il  terzo  periodo  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é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sostituito  dal  seguente:  «Gli   enti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beneficiari del contributo  per  l'anno  2022  sono  individuati  con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comunicato del Ministero  dell'interno  da  pubblicare  entro  il  20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luglio 2021»;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  b) al quarto periodo, le parole: «28  febbraio»  sono  sostituite</w:t>
      </w:r>
    </w:p>
    <w:p w:rsid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dalle seguenti: «10 agosto».))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</w:t>
      </w:r>
    </w:p>
    <w:p w:rsidR="001D2D73" w:rsidRPr="005B68E0" w:rsidRDefault="001D2D73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</w:p>
    <w:p w:rsidR="001A069C" w:rsidRDefault="001A069C">
      <w:pP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br w:type="page"/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lastRenderedPageBreak/>
        <w:t xml:space="preserve">                               Art. 2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 Rifinanziamento del 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((Fondo per lo sviluppo e la coesione))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1. La dotazione del Fondo per lo sviluppo e la coesione, periodo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programmazione 2021-2027, di cui all'articolo  1,  comma  177,  della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legge 30 dicembre 2020, n. 178, 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((al fine di accelerare la  capacit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di utilizzo delle risorse e di realizzazione degli  investimenti  del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Piano  nazionale  di  ripresa   e   resilienza))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,   </w:t>
      </w:r>
      <w: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é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incrementata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complessivamente di 15.500 milioni di euro secondo le  annualit</w:t>
      </w:r>
      <w: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seguito indicate: 850 milioni di euro per l'anno 2022, 1.000  milioni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di euro per l'anno 2023, 1.250 milioni di euro per l'anno 2024, 2.850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milioni di euro per l'anno 2025, 3.600 milioni  di  euro  per  l'anno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2026, 2.280 milioni di euro per l'anno 2027, 2.200  milioni  di  euro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per l'anno 2028, 600 milioni di euro per l'anno 2029, 500 milioni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euro per l'anno 2030 e 370  milioni  di  euro  per  l'anno  2031.  Ai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predetti oneri, si provvede ai sensi dell'articolo 5.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((1-bis. A valere sulle risorse del Fondo  per  lo  sviluppo  e  la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coesione, periodo di programmazione 2021-2027, di cui all'articolo 1,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comma 177, della legge 30 dicembre 2020, n.  178,  come  rifinanziato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dal  comma  1  del  presente  articolo,  con  delibera  del  Comitato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interministeriale per  la  programmazione  economica  e  lo  sviluppo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sostenibile (</w:t>
      </w:r>
      <w:proofErr w:type="spellStart"/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CIPESS</w:t>
      </w:r>
      <w:proofErr w:type="spellEnd"/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) sono destinate risorse complessive  pari  a  700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milioni di euro a investimenti nei seguenti settori: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a) 35 milioni di euro per l'anno  2022,  45  milioni  di  euro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l'anno  2023  e  55  milioni  di  euro  per  l'anno  2024,   per   la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realizzazione  di  un'unica  Rete   di   interconnessione   nazionale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dell'istruzione che assicuri il coordinamento delle piattaforme,  dei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sistemi  e  dei  dati  tra  scuole,  uffici  scolastici  regionali  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Ministero dell'istruzione, l'omogeneit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nell'elaborazione  e  nella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trasmissione dei dati,  il  corretto  funzionamento  della  didattica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digitale integrata e la realizzazione e gestione dei servizi connessi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alle attivit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predette;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b) 20 milioni di euro per l'anno 2022 e  25  milioni  di  euro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ciascuno degli anni 2023 e 2024,  per  la  costituzione  di  un  polo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energetico nel Mare Adriatico  per  riconvertire  le  piattaforme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estrazione del petrolio e del gas e realizzare  un  distretto  marino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integrato nell'ambito delle energie rinnovabili al largo delle  coste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di Ravenna, nel quale eolico  offshore  e  fotovoltaico  galleggiante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producano  energia  elettrica   in   maniera   integrata   e   siano,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contemporaneamente, in  grado  di  generare  idrogeno  verde  tramite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elettrolisi;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c) 35 milioni di euro per l'anno  2021,  70  milioni  di  euro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l'anno 2022 e 90 milioni di euro per ciascuno degli anni 2023 e 2024,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in favore dei comuni con popolazione tra 50.000 e 250.000 abitanti  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dei  capoluoghi  di  provincia  con  meno  di  50.000  abitanti 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investimenti finalizzati al risanamento urbano,  nel  rispetto  degli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obiettivi  della  transizione  verde  e  della  rigenerazione  urbana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sostenibile, nonch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é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a favorire l'inclusione sociale;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d) 30 milioni di euro per l'anno  2022,  35  milioni  di  euro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l'anno 2023 e 50 milioni di euro per l'anno  2024,  per  investimenti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per il miglioramento della qualit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dell'aria, in considerazione  del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perdurare del superamento dei valori  limite  relativi  alle  polveri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sottili (PM10) e dei valori limite  relativi  al  biossido  di  azoto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lastRenderedPageBreak/>
        <w:t>(NO2), di cui alla procedura di  infrazione  n.  2015/2043,  e  della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complessit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dei processi di conseguimento degli  obiettivi  indicati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dalla direttiva 2008/50/CE del Parlamento europeo  e  del  Consiglio,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del 21 maggio 2008. Le risorse sono  assegnate  in  coerenza  con  il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riparto di cui al comma 14-ter dell'articolo 30 del decreto-legge  30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aprile 2019, n. 34, convertito, con  modificazioni,  dalla  legge  28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giugno 2019, n. 58;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e) 5 milioni di euro per l'anno 2022  e  10  milioni  di  euro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ciascuno degli  anni  2023  e  2024,  per  interventi  prioritari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adeguamento e potenziamento di nodi e collegamenti ferroviari nel Sud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Italia, anche per la valorizzazione dei siti di interesse  turistico,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storico e archeologico;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f) 10 milioni di euro per ciascuno degli anni  2022  e  2023  e  15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milioni di euro per l'anno 2024, per il rinnovo delle  flotte  navali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private adibite all'attraversamento dello Stretto di Messina;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g) 5 milioni di euro per l'anno 2023  e  15  milioni  di  euro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l'anno  2024,  per  interventi  infrastrutturali   per   evitare   il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sovraffollamento carcerario;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h) 15 milioni di euro per l'anno  2021,  per  investimenti  per  il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passaggio a metodi di allevamento a stabulazione  libera,  estensivi,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proofErr w:type="spellStart"/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pascolivi</w:t>
      </w:r>
      <w:proofErr w:type="spellEnd"/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,   come   l'allevamento   all'aperto,   l'allevamento   con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nutrizione  ad  erba  (</w:t>
      </w:r>
      <w:proofErr w:type="spellStart"/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grass</w:t>
      </w:r>
      <w:proofErr w:type="spellEnd"/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</w:t>
      </w:r>
      <w:proofErr w:type="spellStart"/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fed</w:t>
      </w:r>
      <w:proofErr w:type="spellEnd"/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)  e  quello  biologico  e  per   la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transizione a sistemi senza gabbie.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1-ter. Le risorse del comma  1-bis,  lettere  da  a)  ad  h),  sono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assegnate dal </w:t>
      </w:r>
      <w:proofErr w:type="spellStart"/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CIPESS</w:t>
      </w:r>
      <w:proofErr w:type="spellEnd"/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, previo parere della Conferenza permanente per 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rapporti tra lo Stato, le regioni e le province autonome di Trento  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di Bolzano, con le modalit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di cui all'articolo 1, comma 178,  della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legge 30 dicembre 2020, n. 178, e nel rispetto della  percentuale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riparto territoriale ivi stabilita. Con la delibera del  </w:t>
      </w:r>
      <w:proofErr w:type="spellStart"/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CIPESS</w:t>
      </w:r>
      <w:proofErr w:type="spellEnd"/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sono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individuati per ciascun intervento finanziato gli obiettivi iniziali,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intermedi e finali  in  relazione  al  cronoprogramma  finanziario  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procedurale nonch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é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le  modalit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di  revoca  in  caso  di  mancato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rispetto  di  tali  obiettivi.  Le  risorse  revocate  tornano  nella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disponibilit</w:t>
      </w:r>
      <w:r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del  </w:t>
      </w:r>
      <w:proofErr w:type="spellStart"/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CIPESS</w:t>
      </w:r>
      <w:proofErr w:type="spellEnd"/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 per   la   programmazione   complessiva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nell'ambito del Fondo per lo sviluppo e la coesione.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 xml:space="preserve">  1-quater. Gli interventi di cui al comma 1-bis, lettere b),  f)  ed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h), sono attuati nel rispetto della disciplina europea in materia  di</w:t>
      </w:r>
    </w:p>
    <w:p w:rsid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aiuti di Stato.))</w:t>
      </w:r>
    </w:p>
    <w:p w:rsidR="001A069C" w:rsidRDefault="001A069C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</w:p>
    <w:p w:rsidR="001A069C" w:rsidRPr="005B68E0" w:rsidRDefault="001A069C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</w:p>
    <w:p w:rsidR="005B68E0" w:rsidRPr="001A069C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                           </w:t>
      </w:r>
      <w:r w:rsidRPr="001A069C">
        <w:rPr>
          <w:rFonts w:ascii="Courier New" w:eastAsia="Times New Roman" w:hAnsi="Courier New" w:cs="Courier New"/>
          <w:b/>
          <w:color w:val="auto"/>
          <w:spacing w:val="0"/>
          <w:sz w:val="21"/>
          <w:szCs w:val="21"/>
          <w:lang w:eastAsia="it-IT"/>
        </w:rPr>
        <w:t xml:space="preserve">Art. 3 </w:t>
      </w:r>
    </w:p>
    <w:p w:rsidR="005B68E0" w:rsidRPr="001A069C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color w:val="auto"/>
          <w:spacing w:val="0"/>
          <w:sz w:val="21"/>
          <w:szCs w:val="21"/>
          <w:lang w:eastAsia="it-IT"/>
        </w:rPr>
      </w:pPr>
      <w:r w:rsidRPr="001A069C">
        <w:rPr>
          <w:rFonts w:ascii="Courier New" w:eastAsia="Times New Roman" w:hAnsi="Courier New" w:cs="Courier New"/>
          <w:b/>
          <w:color w:val="auto"/>
          <w:spacing w:val="0"/>
          <w:sz w:val="21"/>
          <w:szCs w:val="21"/>
          <w:lang w:eastAsia="it-IT"/>
        </w:rPr>
        <w:t xml:space="preserve">         Ulteriori disposizioni finanziarie su Transizione 4.0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1. All'articolo 1, comma 1065, della legge  30  dicembre  2020,  n.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178, dopo  le  parole:  «del  presente  articolo»  sono  inserite  le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seguenti: «, ad esclusione della quota pari a 3.976,1 milioni di euro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per l'anno 2021, a 3.629,05  milioni  di  euro  per  l'anno  2022,  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3.370,18 milioni di euro per l'anno 2023, a 2.082,07 milioni di  euro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per l'anno 2024, a 450,41 milioni di euro per l'anno 2025 e  a  21,79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milioni di euro per l'anno 2026,».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2. Agli oneri derivanti dal comma 1 si  provvede,  quanto  a  704,5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milioni di euro per l'anno 2021,  a  1.414,95  milioni  di  euro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l'anno 2022, a 1.624,88 milioni di euro per  l'anno  2023,  a  989,17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milioni di euro per l'anno 2024, a 324,71 milioni di euro per  l'anno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lastRenderedPageBreak/>
        <w:t>2025 e a 21,79 milioni di euro per  l'anno  2026,  mediante  utilizzo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delle risorse di cui all'articolo 1, comma 2, lettera f), punto  2  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quanto a 3.271,6 milioni di euro per l'anno 2021, a  2.214,1  milioni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di euro per l'anno 2022, a 1.745,3 milioni di euro per l'anno 2023, 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1.092,9 milioni di euro per l'anno 2024 e a 125,7 milioni di euro per</w:t>
      </w:r>
    </w:p>
    <w:p w:rsid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l'anno 2025 ai sensi dell'articolo 5. </w:t>
      </w:r>
    </w:p>
    <w:p w:rsidR="001A069C" w:rsidRDefault="001A069C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</w:p>
    <w:p w:rsidR="001A069C" w:rsidRPr="005B68E0" w:rsidRDefault="001A069C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</w:p>
    <w:p w:rsidR="005B68E0" w:rsidRPr="001A069C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                           </w:t>
      </w:r>
      <w:r w:rsidRPr="001A069C">
        <w:rPr>
          <w:rFonts w:ascii="Courier New" w:eastAsia="Times New Roman" w:hAnsi="Courier New" w:cs="Courier New"/>
          <w:b/>
          <w:color w:val="auto"/>
          <w:spacing w:val="0"/>
          <w:sz w:val="21"/>
          <w:szCs w:val="21"/>
          <w:lang w:eastAsia="it-IT"/>
        </w:rPr>
        <w:t xml:space="preserve">Art. 4 </w:t>
      </w:r>
    </w:p>
    <w:p w:rsidR="005B68E0" w:rsidRPr="001A069C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color w:val="auto"/>
          <w:spacing w:val="0"/>
          <w:sz w:val="21"/>
          <w:szCs w:val="21"/>
          <w:lang w:eastAsia="it-IT"/>
        </w:rPr>
      </w:pPr>
      <w:r w:rsidRPr="001A069C">
        <w:rPr>
          <w:rFonts w:ascii="Courier New" w:eastAsia="Times New Roman" w:hAnsi="Courier New" w:cs="Courier New"/>
          <w:b/>
          <w:color w:val="auto"/>
          <w:spacing w:val="0"/>
          <w:sz w:val="21"/>
          <w:szCs w:val="21"/>
          <w:lang w:eastAsia="it-IT"/>
        </w:rPr>
        <w:t xml:space="preserve">                Interventi di finanziamento in materia </w:t>
      </w:r>
    </w:p>
    <w:p w:rsidR="005B68E0" w:rsidRPr="001A069C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color w:val="auto"/>
          <w:spacing w:val="0"/>
          <w:sz w:val="21"/>
          <w:szCs w:val="21"/>
          <w:lang w:eastAsia="it-IT"/>
        </w:rPr>
      </w:pPr>
      <w:r w:rsidRPr="001A069C">
        <w:rPr>
          <w:rFonts w:ascii="Courier New" w:eastAsia="Times New Roman" w:hAnsi="Courier New" w:cs="Courier New"/>
          <w:b/>
          <w:color w:val="auto"/>
          <w:spacing w:val="0"/>
          <w:sz w:val="21"/>
          <w:szCs w:val="21"/>
          <w:lang w:eastAsia="it-IT"/>
        </w:rPr>
        <w:t xml:space="preserve">                     di linee ferroviarie AV/</w:t>
      </w:r>
      <w:proofErr w:type="spellStart"/>
      <w:r w:rsidRPr="001A069C">
        <w:rPr>
          <w:rFonts w:ascii="Courier New" w:eastAsia="Times New Roman" w:hAnsi="Courier New" w:cs="Courier New"/>
          <w:b/>
          <w:color w:val="auto"/>
          <w:spacing w:val="0"/>
          <w:sz w:val="21"/>
          <w:szCs w:val="21"/>
          <w:lang w:eastAsia="it-IT"/>
        </w:rPr>
        <w:t>AC</w:t>
      </w:r>
      <w:proofErr w:type="spellEnd"/>
      <w:r w:rsidRPr="001A069C">
        <w:rPr>
          <w:rFonts w:ascii="Courier New" w:eastAsia="Times New Roman" w:hAnsi="Courier New" w:cs="Courier New"/>
          <w:b/>
          <w:color w:val="auto"/>
          <w:spacing w:val="0"/>
          <w:sz w:val="21"/>
          <w:szCs w:val="21"/>
          <w:lang w:eastAsia="it-IT"/>
        </w:rPr>
        <w:t xml:space="preserve">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1. Per la realizzazione del secondo lotto  costruttivo  di  cui  al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secondo  lotto  funzionale  relativo  alla  linea  ferroviaria  AV/</w:t>
      </w:r>
      <w:proofErr w:type="spellStart"/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AC</w:t>
      </w:r>
      <w:proofErr w:type="spellEnd"/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proofErr w:type="spellStart"/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Verona-Padova</w:t>
      </w:r>
      <w:proofErr w:type="spellEnd"/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,   concernente   «Attraversamento   di   Vicenza»,   </w:t>
      </w:r>
      <w: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é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autorizzata la spesa complessiva di 925 milioni di euro,  di  cui  20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milioni di euro per l'anno 2022, 100 milioni di euro per l'anno 2023,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150 milioni di euro per l'anno 2024, 200 milioni di euro  per  l'anno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2025, 150 milioni di euro per l'anno 2026, 165 milioni  di  euro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l'anno 2027, 95 milioni di euro per l'anno 2028 e 45 milioni di  euro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((per l'anno 2029))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. </w:t>
      </w:r>
      <w: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É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altres</w:t>
      </w:r>
      <w: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ì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autorizzata, per la  predisposizione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della progettazione definitiva  del  terzo  lotto  funzionale  tratta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AV/</w:t>
      </w:r>
      <w:proofErr w:type="spellStart"/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AC</w:t>
      </w:r>
      <w:proofErr w:type="spellEnd"/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</w:t>
      </w:r>
      <w:proofErr w:type="spellStart"/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Vicenza-Padova</w:t>
      </w:r>
      <w:proofErr w:type="spellEnd"/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, la spesa complessiva di 25 milioni di euro,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cui 5 milioni di euro 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((per l'anno 2021))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e 20 milioni  di  euro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l'anno 2022. Le risorse di cui al presente comma sono  immediatamente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disponibili,  ai  fini  dell'assunzione  di  impegni   giuridicamente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vincolanti, alla data di entrata in vigore del presente decreto.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2. All'articolo 208, comma 3, del decreto-legge 19 maggio 2020,  n.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34, convertito, con modificazioni, dalla legge 17 luglio 2020, n. 77,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sono inseriti, in fine, i seguenti  periodi:  «Per  il  finanziamento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degli interventi relativi alla linea ferroviaria AV/</w:t>
      </w:r>
      <w:proofErr w:type="spellStart"/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AC</w:t>
      </w:r>
      <w:proofErr w:type="spellEnd"/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</w:t>
      </w:r>
      <w:proofErr w:type="spellStart"/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Salerno-Reggio</w:t>
      </w:r>
      <w:proofErr w:type="spellEnd"/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Calabria, </w:t>
      </w:r>
      <w: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é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altres</w:t>
      </w:r>
      <w: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ì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autorizzata  la  spesa  complessiva  di  9.400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milioni di euro, di cui 8  milioni  di  euro  per  l'anno  2021,  150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milioni di euro per l'anno 2022, 200 milioni di euro per l'anno 2023,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250 milioni di euro per l'anno 2024, 740 milioni di euro  per  l'anno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2025, 1.800 milioni di euro per l'anno 2026, 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((1.667 milioni di  euro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per l'anno 2027, 1.830 milioni di euro per l'anno 2028, 1.520 milioni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di euro per l'anno 2029 e 1.235 milioni))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di euro per l'anno 2030. Le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risorse di cui al secondo periodo sono immediatamente disponibili, ai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fini dell'assunzione di impegni giuridicamente vincolanti 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((alla data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di entrata in vigore del decreto-legge 6 maggio 2021, n. 59.))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».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3. All'onere derivante dal presente articolo, pari a 13 milioni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euro per l'anno 2021, a 190 milioni di euro per l'anno  2022,  a  300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milioni di euro per l'anno 2023, a 400 milioni  di  euro  per  l'anno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2024, a 940 milioni di euro per l'anno 2025, a 1.950 milioni di  euro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per l'anno 2026, a 1.832 milioni di euro per  l'anno  2027,  a  1.925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milioni di euro per l'anno 2028, a 1.565 milioni di euro  per  l'anno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2029 ed a 1.235 milioni di euro per l'anno 2030,  che  aumentano,  ai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fini della compensazione degli effetti in  termini  di  indebitamento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netto, in 2.130 milioni di euro per l'anno  2028,  1.850  milioni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euro per l'anno 2029, 1.695 milioni di euro per  l'anno  2030,  1.462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milioni di euro per l'anno 2031 e 470 milioni di euro per l'anno 2032</w:t>
      </w:r>
    </w:p>
    <w:p w:rsid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si provvede ai sensi dell'articolo 5. </w:t>
      </w:r>
    </w:p>
    <w:p w:rsidR="001A069C" w:rsidRDefault="001A069C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</w:p>
    <w:p w:rsidR="005B68E0" w:rsidRPr="001A069C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lastRenderedPageBreak/>
        <w:t xml:space="preserve">                               </w:t>
      </w:r>
      <w:r w:rsidRPr="001A069C">
        <w:rPr>
          <w:rFonts w:ascii="Courier New" w:eastAsia="Times New Roman" w:hAnsi="Courier New" w:cs="Courier New"/>
          <w:b/>
          <w:color w:val="auto"/>
          <w:spacing w:val="0"/>
          <w:sz w:val="21"/>
          <w:szCs w:val="21"/>
          <w:lang w:eastAsia="it-IT"/>
        </w:rPr>
        <w:t xml:space="preserve">Art. 5 </w:t>
      </w:r>
    </w:p>
    <w:p w:rsidR="005B68E0" w:rsidRPr="001A069C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color w:val="auto"/>
          <w:spacing w:val="0"/>
          <w:sz w:val="21"/>
          <w:szCs w:val="21"/>
          <w:lang w:eastAsia="it-IT"/>
        </w:rPr>
      </w:pPr>
      <w:r w:rsidRPr="001A069C">
        <w:rPr>
          <w:rFonts w:ascii="Courier New" w:eastAsia="Times New Roman" w:hAnsi="Courier New" w:cs="Courier New"/>
          <w:b/>
          <w:color w:val="auto"/>
          <w:spacing w:val="0"/>
          <w:sz w:val="21"/>
          <w:szCs w:val="21"/>
          <w:lang w:eastAsia="it-IT"/>
        </w:rPr>
        <w:t xml:space="preserve">                       Disposizioni finanziarie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1. Gli interessi passivi sui titoli del debito  pubblico  derivanti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dagli effetti del  ricorso  all'indebitamento  di  cui  al  comma  2,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lettera a), sono determinati nel limite massimo di 7 milioni di  euro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nel 2022, 40 milioni di euro nel 2023, 83 milioni di euro  nel  2024,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144 milioni di euro nel 2025, 231  milioni  di  euro  nel  2026,  325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milioni di euro per l'anno 2027, 433 milioni di euro  nel  2028,  577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milioni di euro nel 2029, 728 milioni di euro nel 2030,  897  milioni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di euro per l'anno 2031, 1.061 milioni di  euro  per  l'anno  2032  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1.189 milioni di euro annui a decorrere dal 2033, che  aumentano,  ai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fini della compensazione degli effetti in  termini  di  indebitamento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netto, in 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((1 milione))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di euro per l'anno 2021, 15 milioni  di  euro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per l'anno 2022, 56 milioni di euro per l'anno 2023, 106  milioni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euro per l'anno 2024, 178  milioni  di  euro  per  l'anno  2025,  277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milioni di euro per l'anno 2026, 386 milioni di euro per l'anno 2027,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505 milioni di euro per l'anno 2028, 657 milioni di euro  per  l'anno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2029, 823 milioni di euro per l'anno 2030, 1.007 milioni di euro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l'anno 2031, 1.173 milioni di euro per l'anno 2032 e 1.306 milioni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euro annui a decorrere dal 2033.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2. Agli oneri derivanti dagli articoli 1, 2, 3, 4 e dal comma 1 del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presente articolo, pari a 6.290,13 milioni di euro per  l'anno  2021,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9.314,69 milioni di euro nel 2022, 9.944,70 milioni di euro nel 2023,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9.010,70 milioni di euro nel 2024, 9.519,68 milioni di euro nel 2025,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8.982,96 milioni di euro nel  2026,  4.507,90  milioni  di  euro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l'anno 2027, 4.564,40 milioni di euro nel 2028, 2.742,00  milioni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euro nel 2029, 2.463,00 milioni di euro nel 2030, 1.267,00 milioni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euro nel 2031, 1.061,00 milioni di euro nel 2032, 1.199,10 milioni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euro per l'anno 2033, 1.192,40 milioni di  euro  per  l'anno  2034  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1.189,00 milioni di euro annui a decorrere dal 2035,  che  aumentano,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ai fini della compensazione degli effetti in termini di indebitamento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netto, in 5.555,90 milioni di euro per l'anno 2027, 6.541,40  milioni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di euro per l'anno 2028, 6.631,01 milioni di euro  per  l'anno  2029,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6.129,84 milioni di euro per l'anno 2030, 6.049 milioni di  euro  nel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2031, 4.943 milioni di euro nel 2032, 2.556,10 milioni  di  euro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l'anno 2033 e 1.309,40 milioni di euro per  l'anno  2034  e  1.306,00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milioni di euro annui a decorrere dal 2035, si provvede: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a) quanto a 6.280,53 milioni di euro per  l'anno  2021,  9.173,49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milioni di euro nel 2022, 9.835,40 milioni di euro nel 2023, 9.010,70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milioni di euro nel 2024, 9.519,68 milioni di euro nel 2025, 8.982,96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milioni di euro nel 2026, 4.377,00 milioni di euro per  l'anno  2027,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4.490,30 milioni di euro nel 2028, 2.712,20 milioni di euro nel 2029,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2.438,50 milioni di euro nel  2030,  1.241,60  milioni  di  euro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l'anno 2031, 1.030,50 milioni di euro per l'anno 2032 e 1.189 milioni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di euro annui a decorrere dal 2033 e,  in  termini  di  indebitamento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netto 5.425 milioni di euro per l'anno 2027, 6.467,30 milioni di euro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per l'anno 2028, 6.601,21 milioni di euro per l'anno  2029,  6.105,34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milioni di euro per l'anno 2030, 6.023,60 milioni di euro per  l'anno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2031, 4.912,50 milioni di euro per l'anno 2032, 2.546 milioni di euro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per l'anno 2033 e 1.306 milioni di euro annui a decorrere  dal  2034,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mediante il ricorso all'indebitamento autorizzato  dalla  Camera  dei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deputati e dal Senato della Repubblica  il  22  aprile  2021  con  le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risoluzioni di approvazione della relazione presentata al  Parlamento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lastRenderedPageBreak/>
        <w:t xml:space="preserve">ai sensi dell'articolo 6 della legge 24 dicembre 2012, n. 243;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b) quanto a 9,6 milioni di euro per l'anno 2021, 141,2 milioni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euro per l'anno 2022, 109,3 milioni di euro per  l'anno  2023,  130,9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milioni di euro per l'anno 2027, 74,1  milioni  di  euro  per  l'anno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2028, 29,8 milioni di euro per l'anno 2029, 24,5 milioni di euro  per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l'anno 2030, 25,4 milioni di euro per l'anno 2031 e 30,5  milioni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euro per l'anno 2032, mediante corrispondente utilizzo delle maggiori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entrate derivanti dall'articolo 1, comma 3;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  c) quanto a 10,1 milioni di euro per l'anno 2033, 3,4 milioni  di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euro    nel    2034,    </w:t>
      </w:r>
      <w:r w:rsidRPr="005B68E0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sz w:val="21"/>
          <w:lang w:eastAsia="it-IT"/>
        </w:rPr>
        <w:t>((mediante     corrispondente     riduzione))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dell'autorizzazione di spesa di cui all'articolo 1, comma 200,  della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legge 23 dicembre 2014, n. 190.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3. L'allegato 1 alla legge 30 dicembre 2020, n. 178, </w:t>
      </w:r>
      <w: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é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sostituito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dall'allegato 1 annesso al presente decreto.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4. Ai fini dell'immediata attuazione delle disposizioni recate  dal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presente decreto,  il  Ministro  dell'economia  e  delle  finanze  </w:t>
      </w:r>
      <w: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é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autorizzato  ad  apportare,  con  propri   decreti,   le   occorrenti</w:t>
      </w:r>
    </w:p>
    <w:p w:rsid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variazioni di bilancio. </w:t>
      </w:r>
    </w:p>
    <w:p w:rsidR="001A069C" w:rsidRDefault="001A069C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</w:p>
    <w:p w:rsidR="001A069C" w:rsidRPr="005B68E0" w:rsidRDefault="001A069C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</w:p>
    <w:p w:rsidR="005B68E0" w:rsidRPr="001A069C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color w:val="auto"/>
          <w:spacing w:val="0"/>
          <w:sz w:val="21"/>
          <w:szCs w:val="21"/>
          <w:lang w:eastAsia="it-IT"/>
        </w:rPr>
      </w:pPr>
      <w:r w:rsidRPr="001A069C">
        <w:rPr>
          <w:rFonts w:ascii="Courier New" w:eastAsia="Times New Roman" w:hAnsi="Courier New" w:cs="Courier New"/>
          <w:b/>
          <w:color w:val="auto"/>
          <w:spacing w:val="0"/>
          <w:sz w:val="21"/>
          <w:szCs w:val="21"/>
          <w:lang w:eastAsia="it-IT"/>
        </w:rPr>
        <w:t xml:space="preserve">                               Art. 6 </w:t>
      </w:r>
    </w:p>
    <w:p w:rsidR="005B68E0" w:rsidRPr="001A069C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b/>
          <w:color w:val="auto"/>
          <w:spacing w:val="0"/>
          <w:sz w:val="21"/>
          <w:szCs w:val="21"/>
          <w:lang w:eastAsia="it-IT"/>
        </w:rPr>
      </w:pPr>
      <w:r w:rsidRPr="001A069C">
        <w:rPr>
          <w:rFonts w:ascii="Courier New" w:eastAsia="Times New Roman" w:hAnsi="Courier New" w:cs="Courier New"/>
          <w:b/>
          <w:color w:val="auto"/>
          <w:spacing w:val="0"/>
          <w:sz w:val="21"/>
          <w:szCs w:val="21"/>
          <w:lang w:eastAsia="it-IT"/>
        </w:rPr>
        <w:t xml:space="preserve">                          Entrata in vigore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 1. Il presente decreto entra  in  vigore  il  giorno  successivo  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quello  della  sua  pubblicazione  nella  Gazzetta  Ufficiale   della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Repubblica italiana e sar</w:t>
      </w:r>
      <w: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>à</w:t>
      </w: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 presentato alle Camere per la conversione</w:t>
      </w:r>
    </w:p>
    <w:p w:rsidR="005B68E0" w:rsidRPr="005B68E0" w:rsidRDefault="005B68E0" w:rsidP="005B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textAlignment w:val="baseline"/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 w:rsidRPr="005B68E0"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t xml:space="preserve">in legge. </w:t>
      </w:r>
    </w:p>
    <w:p w:rsidR="00DF0A67" w:rsidRDefault="00DF0A67">
      <w:pP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</w:pPr>
      <w:r>
        <w:rPr>
          <w:rFonts w:ascii="Courier New" w:eastAsia="Times New Roman" w:hAnsi="Courier New" w:cs="Courier New"/>
          <w:color w:val="auto"/>
          <w:spacing w:val="0"/>
          <w:sz w:val="21"/>
          <w:szCs w:val="21"/>
          <w:lang w:eastAsia="it-IT"/>
        </w:rPr>
        <w:br w:type="page"/>
      </w:r>
    </w:p>
    <w:p w:rsidR="00766B93" w:rsidRDefault="00766B93" w:rsidP="00766B93">
      <w:pPr>
        <w:pStyle w:val="PreformattatoHTML"/>
        <w:shd w:val="clear" w:color="auto" w:fill="FFFFFF"/>
        <w:jc w:val="center"/>
        <w:rPr>
          <w:color w:val="19191A"/>
          <w:sz w:val="21"/>
          <w:szCs w:val="21"/>
        </w:rPr>
      </w:pPr>
    </w:p>
    <w:p w:rsidR="00766B93" w:rsidRDefault="00766B93" w:rsidP="00766B93">
      <w:pPr>
        <w:pStyle w:val="PreformattatoHTML"/>
        <w:shd w:val="clear" w:color="auto" w:fill="FFFFFF"/>
        <w:jc w:val="center"/>
        <w:rPr>
          <w:color w:val="19191A"/>
          <w:sz w:val="21"/>
          <w:szCs w:val="21"/>
        </w:rPr>
      </w:pPr>
    </w:p>
    <w:p w:rsidR="00DF0A67" w:rsidRPr="00766B93" w:rsidRDefault="00766B93" w:rsidP="00766B93">
      <w:pPr>
        <w:pStyle w:val="PreformattatoHTML"/>
        <w:shd w:val="clear" w:color="auto" w:fill="FFFFFF"/>
        <w:jc w:val="center"/>
        <w:rPr>
          <w:b/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ab/>
      </w:r>
      <w:r>
        <w:rPr>
          <w:color w:val="19191A"/>
          <w:sz w:val="21"/>
          <w:szCs w:val="21"/>
        </w:rPr>
        <w:tab/>
      </w:r>
      <w:r>
        <w:rPr>
          <w:color w:val="19191A"/>
          <w:sz w:val="21"/>
          <w:szCs w:val="21"/>
        </w:rPr>
        <w:tab/>
      </w:r>
      <w:r>
        <w:rPr>
          <w:color w:val="19191A"/>
          <w:sz w:val="21"/>
          <w:szCs w:val="21"/>
        </w:rPr>
        <w:tab/>
      </w:r>
      <w:r>
        <w:rPr>
          <w:color w:val="19191A"/>
          <w:sz w:val="21"/>
          <w:szCs w:val="21"/>
        </w:rPr>
        <w:tab/>
        <w:t xml:space="preserve">    </w:t>
      </w:r>
      <w:r w:rsidR="00DF0A67" w:rsidRPr="00766B93">
        <w:rPr>
          <w:b/>
          <w:color w:val="19191A"/>
          <w:sz w:val="21"/>
          <w:szCs w:val="21"/>
        </w:rPr>
        <w:t xml:space="preserve">Allegato 1 </w:t>
      </w:r>
    </w:p>
    <w:p w:rsidR="00DF0A67" w:rsidRPr="00766B93" w:rsidRDefault="00DF0A67" w:rsidP="00DF0A67">
      <w:pPr>
        <w:pStyle w:val="PreformattatoHTML"/>
        <w:shd w:val="clear" w:color="auto" w:fill="FFFFFF"/>
        <w:rPr>
          <w:b/>
          <w:color w:val="19191A"/>
          <w:sz w:val="21"/>
          <w:szCs w:val="21"/>
        </w:rPr>
      </w:pPr>
      <w:r w:rsidRPr="00766B93">
        <w:rPr>
          <w:b/>
          <w:color w:val="19191A"/>
          <w:sz w:val="21"/>
          <w:szCs w:val="21"/>
        </w:rPr>
        <w:t xml:space="preserve">                                                (articolo 5, comma 3) 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 xml:space="preserve"> 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 xml:space="preserve">                             "Allegato 1 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 xml:space="preserve"> 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 xml:space="preserve">  (articolo 1, comma 1) 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 xml:space="preserve">  (importi in milioni di euro) 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 xml:space="preserve">    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=====================================================================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                     RISULTATI DIFFERENZIALI                     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=====================================================================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                         - COMPETENZA -                          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=====================================================================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 Descrizione risultato |              |              |           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     differenziale     |     2021     |     2022     |    2023   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+=======================+==============+==============+=============+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|Livello massimo del    |              |              |           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|saldo netto da         |              |              |           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|finanziare, tenuto     |              |              |           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|conto degli effetti    |              |              |           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|derivanti dalla        |              |              |           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|presente legge         |   -242.281   |   -166.374   |  -148.536 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                       +--------------+--------------+-------------+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|Livello massimo del    |              |              |           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|ricorso al mercato     |              |              |           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|finanziario, tenuto    |              |              |           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|conto degli effetti    |              |              |           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|derivanti dalla        |              |              |           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|presente legge (*)     |   529.516    |   440.671    |   503.586 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=====================================================================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                             - CASSA -                           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=====================================================================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 Descrizione risultato |              |              |           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     differenziale     |     2021     |     2022     |    2023   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+=======================+==============+==============+=============+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|Livello massimo del    |              |              |           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|saldo netto da         |              |              |           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|finanziare, tenuto     |              |              |           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|conto degli effetti    |              |              |           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|derivanti dalla        |              |              |           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|presente legge         |   -335.281   |   -217.874   |  -208.036 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                       +--------------+--------------+-------------+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|Livello massimo del    |              |              |           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|ricorso al mercato     |              |              |           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|finanziario, tenuto    |              |              |           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|conto degli effetti    |              |              |           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|derivanti dalla        |              |              |           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|presente legge (*)     |   622.646    |   492.171    |   563.086 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+-----------------------+--------------+--------------+-------------+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|(*) al netto delle operazioni effettuate al  fine  di  rimborsare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 xml:space="preserve">|prima della scadenza o di ristrutturare </w:t>
      </w:r>
      <w:r w:rsidR="00766B93">
        <w:rPr>
          <w:color w:val="19191A"/>
          <w:sz w:val="21"/>
          <w:szCs w:val="21"/>
        </w:rPr>
        <w:t>passività</w:t>
      </w:r>
      <w:r>
        <w:rPr>
          <w:color w:val="19191A"/>
          <w:sz w:val="21"/>
          <w:szCs w:val="21"/>
        </w:rPr>
        <w:t xml:space="preserve">  preesistenti 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|con ammortamento a carico dello Stato.                             |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+-------------------------------------------------------------------+</w:t>
      </w:r>
    </w:p>
    <w:p w:rsidR="00DF0A67" w:rsidRDefault="00DF0A67" w:rsidP="00DF0A67">
      <w:pPr>
        <w:pStyle w:val="PreformattatoHTML"/>
        <w:shd w:val="clear" w:color="auto" w:fill="FFFFFF"/>
        <w:rPr>
          <w:color w:val="19191A"/>
          <w:sz w:val="21"/>
          <w:szCs w:val="21"/>
        </w:rPr>
      </w:pPr>
      <w:r>
        <w:rPr>
          <w:color w:val="19191A"/>
          <w:sz w:val="21"/>
          <w:szCs w:val="21"/>
        </w:rPr>
        <w:t>"</w:t>
      </w:r>
    </w:p>
    <w:p w:rsidR="00DF0A67" w:rsidRPr="005B68E0" w:rsidRDefault="00DF0A67" w:rsidP="005B68E0">
      <w:pPr>
        <w:spacing w:line="280" w:lineRule="exact"/>
        <w:rPr>
          <w:color w:val="auto"/>
        </w:rPr>
      </w:pPr>
    </w:p>
    <w:sectPr w:rsidR="00DF0A67" w:rsidRPr="005B68E0" w:rsidSect="001A069C"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B68E0"/>
    <w:rsid w:val="00146137"/>
    <w:rsid w:val="001477DB"/>
    <w:rsid w:val="001A069C"/>
    <w:rsid w:val="001C34A1"/>
    <w:rsid w:val="001D2D73"/>
    <w:rsid w:val="00235E23"/>
    <w:rsid w:val="00242A6C"/>
    <w:rsid w:val="00386F38"/>
    <w:rsid w:val="003A4F70"/>
    <w:rsid w:val="003E7A33"/>
    <w:rsid w:val="00420EE4"/>
    <w:rsid w:val="00566B0F"/>
    <w:rsid w:val="005B68E0"/>
    <w:rsid w:val="005F6D99"/>
    <w:rsid w:val="00766B93"/>
    <w:rsid w:val="00794CED"/>
    <w:rsid w:val="00A27BE1"/>
    <w:rsid w:val="00DF0A67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erlin Sans FB Demi" w:eastAsiaTheme="minorHAnsi" w:hAnsi="Berlin Sans FB Demi" w:cs="Arial"/>
        <w:color w:val="000000"/>
        <w:spacing w:val="6"/>
        <w:sz w:val="32"/>
        <w:szCs w:val="3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D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5B68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B6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pacing w:val="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B68E0"/>
    <w:rPr>
      <w:rFonts w:ascii="Courier New" w:eastAsia="Times New Roman" w:hAnsi="Courier New" w:cs="Courier New"/>
      <w:color w:val="auto"/>
      <w:spacing w:val="0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5B68E0"/>
  </w:style>
  <w:style w:type="character" w:customStyle="1" w:styleId="righetta">
    <w:name w:val="righetta"/>
    <w:basedOn w:val="Carpredefinitoparagrafo"/>
    <w:rsid w:val="005B68E0"/>
  </w:style>
  <w:style w:type="character" w:customStyle="1" w:styleId="righettadx">
    <w:name w:val="righetta_dx"/>
    <w:basedOn w:val="Carpredefinitoparagrafo"/>
    <w:rsid w:val="005B68E0"/>
  </w:style>
  <w:style w:type="character" w:styleId="Enfasigrassetto">
    <w:name w:val="Strong"/>
    <w:basedOn w:val="Carpredefinitoparagrafo"/>
    <w:uiPriority w:val="22"/>
    <w:qFormat/>
    <w:rsid w:val="005B68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17</Pages>
  <Words>8334</Words>
  <Characters>47509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agaleone</dc:creator>
  <cp:keywords/>
  <dc:description/>
  <cp:lastModifiedBy>agaleone</cp:lastModifiedBy>
  <cp:revision>10</cp:revision>
  <dcterms:created xsi:type="dcterms:W3CDTF">2021-07-14T18:08:00Z</dcterms:created>
  <dcterms:modified xsi:type="dcterms:W3CDTF">2021-07-15T17:11:00Z</dcterms:modified>
</cp:coreProperties>
</file>