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FAB11" w14:textId="77777777" w:rsidR="00977055" w:rsidRPr="00977055" w:rsidRDefault="00977055" w:rsidP="00977055">
      <w:pPr>
        <w:spacing w:after="0" w:line="240" w:lineRule="auto"/>
        <w:rPr>
          <w:rFonts w:ascii="Times New Roman" w:eastAsia="Times New Roman" w:hAnsi="Times New Roman" w:cs="Times New Roman"/>
          <w:sz w:val="24"/>
          <w:szCs w:val="24"/>
          <w:lang w:eastAsia="it-IT"/>
        </w:rPr>
      </w:pPr>
      <w:r w:rsidRPr="00977055">
        <w:rPr>
          <w:rFonts w:ascii="Times New Roman" w:eastAsia="Times New Roman" w:hAnsi="Times New Roman" w:cs="Times New Roman"/>
          <w:color w:val="000000"/>
          <w:sz w:val="27"/>
          <w:szCs w:val="27"/>
          <w:lang w:eastAsia="it-IT"/>
        </w:rPr>
        <w:t>Pubblicato il 01/12/2021</w:t>
      </w:r>
    </w:p>
    <w:p w14:paraId="3292AEE7" w14:textId="77777777" w:rsidR="00977055" w:rsidRPr="00977055" w:rsidRDefault="00977055" w:rsidP="00977055">
      <w:pPr>
        <w:spacing w:before="100" w:beforeAutospacing="1" w:after="100" w:afterAutospacing="1" w:line="0" w:lineRule="atLeast"/>
        <w:jc w:val="right"/>
        <w:rPr>
          <w:rFonts w:ascii="Times Nordic" w:eastAsia="Times New Roman" w:hAnsi="Times Nordic" w:cs="Times New Roman"/>
          <w:b/>
          <w:bCs/>
          <w:color w:val="000000"/>
          <w:lang w:eastAsia="it-IT"/>
        </w:rPr>
      </w:pPr>
      <w:r w:rsidRPr="00977055">
        <w:rPr>
          <w:rFonts w:ascii="Times Nordic" w:eastAsia="Times New Roman" w:hAnsi="Times Nordic" w:cs="Times New Roman"/>
          <w:b/>
          <w:bCs/>
          <w:color w:val="000000"/>
          <w:lang w:eastAsia="it-IT"/>
        </w:rPr>
        <w:t>N. 03329/2021 REG.PROV.COLL.</w:t>
      </w:r>
    </w:p>
    <w:p w14:paraId="404C93FB" w14:textId="77777777" w:rsidR="00977055" w:rsidRPr="00977055" w:rsidRDefault="00977055" w:rsidP="00977055">
      <w:pPr>
        <w:spacing w:before="100" w:beforeAutospacing="1" w:after="100" w:afterAutospacing="1" w:line="0" w:lineRule="atLeast"/>
        <w:jc w:val="right"/>
        <w:rPr>
          <w:rFonts w:ascii="Times Nordic" w:eastAsia="Times New Roman" w:hAnsi="Times Nordic" w:cs="Times New Roman"/>
          <w:b/>
          <w:bCs/>
          <w:color w:val="000000"/>
          <w:lang w:eastAsia="it-IT"/>
        </w:rPr>
      </w:pPr>
      <w:r w:rsidRPr="00977055">
        <w:rPr>
          <w:rFonts w:ascii="Times Nordic" w:eastAsia="Times New Roman" w:hAnsi="Times Nordic" w:cs="Times New Roman"/>
          <w:b/>
          <w:bCs/>
          <w:color w:val="000000"/>
          <w:lang w:eastAsia="it-IT"/>
        </w:rPr>
        <w:t>N. 00323/2019 REG.RIC.</w:t>
      </w:r>
    </w:p>
    <w:p w14:paraId="54D5E9A3" w14:textId="77777777" w:rsidR="00977055" w:rsidRPr="00977055" w:rsidRDefault="00977055" w:rsidP="00977055">
      <w:pPr>
        <w:spacing w:before="100" w:beforeAutospacing="1" w:after="100" w:afterAutospacing="1" w:line="240" w:lineRule="auto"/>
        <w:jc w:val="center"/>
        <w:rPr>
          <w:rFonts w:ascii="Garamond" w:eastAsia="Times New Roman" w:hAnsi="Garamond" w:cs="Times New Roman"/>
          <w:b/>
          <w:bCs/>
          <w:color w:val="000000"/>
          <w:spacing w:val="150"/>
          <w:sz w:val="27"/>
          <w:szCs w:val="27"/>
          <w:lang w:eastAsia="it-IT"/>
        </w:rPr>
      </w:pPr>
      <w:r w:rsidRPr="00977055">
        <w:rPr>
          <w:rFonts w:ascii="Garamond" w:eastAsia="Times New Roman" w:hAnsi="Garamond" w:cs="Times New Roman"/>
          <w:b/>
          <w:bCs/>
          <w:noProof/>
          <w:color w:val="000000"/>
          <w:spacing w:val="150"/>
          <w:sz w:val="27"/>
          <w:szCs w:val="27"/>
          <w:lang w:eastAsia="it-IT"/>
        </w:rPr>
        <w:drawing>
          <wp:inline distT="0" distB="0" distL="0" distR="0" wp14:anchorId="704CD185" wp14:editId="4E0ED167">
            <wp:extent cx="723900" cy="828675"/>
            <wp:effectExtent l="0" t="0" r="0" b="9525"/>
            <wp:docPr id="2" name="Immagine 2" descr="Immagine che contiene testo, tazz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tazza&#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900" cy="828675"/>
                    </a:xfrm>
                    <a:prstGeom prst="rect">
                      <a:avLst/>
                    </a:prstGeom>
                    <a:noFill/>
                    <a:ln>
                      <a:noFill/>
                    </a:ln>
                  </pic:spPr>
                </pic:pic>
              </a:graphicData>
            </a:graphic>
          </wp:inline>
        </w:drawing>
      </w:r>
    </w:p>
    <w:p w14:paraId="2D70E9CF" w14:textId="77777777" w:rsidR="00977055" w:rsidRPr="00977055" w:rsidRDefault="00977055" w:rsidP="00977055">
      <w:pPr>
        <w:spacing w:before="100" w:beforeAutospacing="1" w:after="100" w:afterAutospacing="1" w:line="240" w:lineRule="auto"/>
        <w:jc w:val="center"/>
        <w:outlineLvl w:val="1"/>
        <w:rPr>
          <w:rFonts w:ascii="Garamond" w:eastAsia="Times New Roman" w:hAnsi="Garamond" w:cs="Times New Roman"/>
          <w:b/>
          <w:bCs/>
          <w:color w:val="000000"/>
          <w:spacing w:val="150"/>
          <w:kern w:val="36"/>
          <w:sz w:val="24"/>
          <w:szCs w:val="24"/>
          <w:lang w:eastAsia="it-IT"/>
        </w:rPr>
      </w:pPr>
      <w:r w:rsidRPr="00977055">
        <w:rPr>
          <w:rFonts w:ascii="Garamond" w:eastAsia="Times New Roman" w:hAnsi="Garamond" w:cs="Times New Roman"/>
          <w:b/>
          <w:bCs/>
          <w:color w:val="000000"/>
          <w:spacing w:val="150"/>
          <w:kern w:val="36"/>
          <w:sz w:val="24"/>
          <w:szCs w:val="24"/>
          <w:lang w:eastAsia="it-IT"/>
        </w:rPr>
        <w:t>REPUBBLICA ITALIANA</w:t>
      </w:r>
    </w:p>
    <w:p w14:paraId="5FC66AA3" w14:textId="77777777" w:rsidR="00977055" w:rsidRPr="00977055" w:rsidRDefault="00977055" w:rsidP="00977055">
      <w:pPr>
        <w:spacing w:before="100" w:beforeAutospacing="1" w:after="100" w:afterAutospacing="1" w:line="240" w:lineRule="auto"/>
        <w:jc w:val="center"/>
        <w:rPr>
          <w:rFonts w:ascii="Garamond" w:eastAsia="Times New Roman" w:hAnsi="Garamond" w:cs="Times New Roman"/>
          <w:b/>
          <w:bCs/>
          <w:color w:val="000000"/>
          <w:lang w:eastAsia="it-IT"/>
        </w:rPr>
      </w:pPr>
      <w:r w:rsidRPr="00977055">
        <w:rPr>
          <w:rFonts w:ascii="Garamond" w:eastAsia="Times New Roman" w:hAnsi="Garamond" w:cs="Times New Roman"/>
          <w:b/>
          <w:bCs/>
          <w:color w:val="000000"/>
          <w:lang w:eastAsia="it-IT"/>
        </w:rPr>
        <w:t>IN NOME DEL POPOLO ITALIANO</w:t>
      </w:r>
    </w:p>
    <w:p w14:paraId="59F5D125" w14:textId="77777777" w:rsidR="00977055" w:rsidRPr="00977055" w:rsidRDefault="00977055" w:rsidP="00977055">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977055">
        <w:rPr>
          <w:rFonts w:ascii="Garamond" w:eastAsia="Times New Roman" w:hAnsi="Garamond" w:cs="Times New Roman"/>
          <w:b/>
          <w:bCs/>
          <w:color w:val="000000"/>
          <w:sz w:val="26"/>
          <w:szCs w:val="26"/>
          <w:lang w:eastAsia="it-IT"/>
        </w:rPr>
        <w:t>Il Tribunale Amministrativo Regionale per la Sicilia</w:t>
      </w:r>
    </w:p>
    <w:p w14:paraId="466561CA" w14:textId="77777777" w:rsidR="00977055" w:rsidRPr="00977055" w:rsidRDefault="00977055" w:rsidP="00977055">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977055">
        <w:rPr>
          <w:rFonts w:ascii="Garamond" w:eastAsia="Times New Roman" w:hAnsi="Garamond" w:cs="Times New Roman"/>
          <w:b/>
          <w:bCs/>
          <w:color w:val="000000"/>
          <w:sz w:val="26"/>
          <w:szCs w:val="26"/>
          <w:lang w:eastAsia="it-IT"/>
        </w:rPr>
        <w:t>(Sezione Prima)</w:t>
      </w:r>
    </w:p>
    <w:p w14:paraId="3A656B0F" w14:textId="77777777" w:rsidR="00977055" w:rsidRPr="00977055" w:rsidRDefault="00977055" w:rsidP="00977055">
      <w:pPr>
        <w:spacing w:after="0" w:line="520" w:lineRule="atLeast"/>
        <w:ind w:firstLine="567"/>
        <w:rPr>
          <w:rFonts w:ascii="Garamond" w:eastAsia="Times New Roman" w:hAnsi="Garamond" w:cs="Times New Roman"/>
          <w:color w:val="000000"/>
          <w:sz w:val="30"/>
          <w:szCs w:val="30"/>
          <w:lang w:eastAsia="it-IT"/>
        </w:rPr>
      </w:pPr>
      <w:r w:rsidRPr="00977055">
        <w:rPr>
          <w:rFonts w:ascii="Garamond" w:eastAsia="Times New Roman" w:hAnsi="Garamond" w:cs="Times New Roman"/>
          <w:color w:val="000000"/>
          <w:sz w:val="30"/>
          <w:szCs w:val="30"/>
          <w:lang w:eastAsia="it-IT"/>
        </w:rPr>
        <w:t>ha pronunciato la presente</w:t>
      </w:r>
    </w:p>
    <w:p w14:paraId="5FC8EEC5" w14:textId="77777777" w:rsidR="00977055" w:rsidRPr="00977055" w:rsidRDefault="00977055" w:rsidP="00977055">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977055">
        <w:rPr>
          <w:rFonts w:ascii="Garamond" w:eastAsia="Times New Roman" w:hAnsi="Garamond" w:cs="Times New Roman"/>
          <w:b/>
          <w:bCs/>
          <w:color w:val="000000"/>
          <w:sz w:val="26"/>
          <w:szCs w:val="26"/>
          <w:lang w:eastAsia="it-IT"/>
        </w:rPr>
        <w:t>SENTENZA</w:t>
      </w:r>
    </w:p>
    <w:p w14:paraId="3A7CF0FB" w14:textId="77777777" w:rsidR="00977055" w:rsidRPr="00977055" w:rsidRDefault="00977055" w:rsidP="00977055">
      <w:pPr>
        <w:spacing w:after="0" w:line="520" w:lineRule="atLeast"/>
        <w:jc w:val="both"/>
        <w:rPr>
          <w:rFonts w:ascii="Garamond" w:eastAsia="Times New Roman" w:hAnsi="Garamond" w:cs="Times New Roman"/>
          <w:color w:val="000000"/>
          <w:sz w:val="30"/>
          <w:szCs w:val="30"/>
          <w:lang w:eastAsia="it-IT"/>
        </w:rPr>
      </w:pPr>
      <w:r w:rsidRPr="00977055">
        <w:rPr>
          <w:rFonts w:ascii="Garamond" w:eastAsia="Times New Roman" w:hAnsi="Garamond" w:cs="Times New Roman"/>
          <w:color w:val="000000"/>
          <w:sz w:val="30"/>
          <w:szCs w:val="30"/>
          <w:lang w:eastAsia="it-IT"/>
        </w:rPr>
        <w:t>sul ricorso numero di registro generale 323 del 2019, integrato da motivi aggiunti, proposto dall’Associazione Nazionale Mutilati e Invalidi Civili - A.N.M.I.C., in persona del legale rappresentante </w:t>
      </w:r>
      <w:r w:rsidRPr="00977055">
        <w:rPr>
          <w:rFonts w:ascii="Garamond" w:eastAsia="Times New Roman" w:hAnsi="Garamond" w:cs="Times New Roman"/>
          <w:i/>
          <w:iCs/>
          <w:color w:val="000000"/>
          <w:sz w:val="30"/>
          <w:szCs w:val="30"/>
          <w:lang w:eastAsia="it-IT"/>
        </w:rPr>
        <w:t>pro tempore</w:t>
      </w:r>
      <w:r w:rsidRPr="00977055">
        <w:rPr>
          <w:rFonts w:ascii="Garamond" w:eastAsia="Times New Roman" w:hAnsi="Garamond" w:cs="Times New Roman"/>
          <w:color w:val="000000"/>
          <w:sz w:val="30"/>
          <w:szCs w:val="30"/>
          <w:lang w:eastAsia="it-IT"/>
        </w:rPr>
        <w:t>, rappresentato e difeso dagli avvocati Giacomo Ferrari e Rosario Cannata, con domicilio digitale come da indirizzo di PEC estratto dai registri del Ministero della Giustizia;</w:t>
      </w:r>
    </w:p>
    <w:p w14:paraId="663598DC" w14:textId="77777777" w:rsidR="00977055" w:rsidRPr="00977055" w:rsidRDefault="00977055" w:rsidP="00977055">
      <w:pPr>
        <w:spacing w:after="0" w:line="520" w:lineRule="atLeast"/>
        <w:jc w:val="center"/>
        <w:rPr>
          <w:rFonts w:ascii="Garamond" w:eastAsia="Times New Roman" w:hAnsi="Garamond" w:cs="Times New Roman"/>
          <w:b/>
          <w:bCs/>
          <w:i/>
          <w:iCs/>
          <w:color w:val="000000"/>
          <w:sz w:val="30"/>
          <w:szCs w:val="30"/>
          <w:lang w:eastAsia="it-IT"/>
        </w:rPr>
      </w:pPr>
      <w:r w:rsidRPr="00977055">
        <w:rPr>
          <w:rFonts w:ascii="Garamond" w:eastAsia="Times New Roman" w:hAnsi="Garamond" w:cs="Times New Roman"/>
          <w:b/>
          <w:bCs/>
          <w:i/>
          <w:iCs/>
          <w:color w:val="000000"/>
          <w:sz w:val="30"/>
          <w:szCs w:val="30"/>
          <w:lang w:eastAsia="it-IT"/>
        </w:rPr>
        <w:t>contro</w:t>
      </w:r>
    </w:p>
    <w:p w14:paraId="31361B4C" w14:textId="77777777" w:rsidR="00977055" w:rsidRPr="00977055" w:rsidRDefault="00977055" w:rsidP="00977055">
      <w:pPr>
        <w:spacing w:after="0" w:line="520" w:lineRule="atLeast"/>
        <w:jc w:val="both"/>
        <w:rPr>
          <w:rFonts w:ascii="Garamond" w:eastAsia="Times New Roman" w:hAnsi="Garamond" w:cs="Times New Roman"/>
          <w:color w:val="000000"/>
          <w:sz w:val="30"/>
          <w:szCs w:val="30"/>
          <w:lang w:eastAsia="it-IT"/>
        </w:rPr>
      </w:pPr>
      <w:r w:rsidRPr="00977055">
        <w:rPr>
          <w:rFonts w:ascii="Garamond" w:eastAsia="Times New Roman" w:hAnsi="Garamond" w:cs="Times New Roman"/>
          <w:color w:val="000000"/>
          <w:sz w:val="30"/>
          <w:szCs w:val="30"/>
          <w:lang w:eastAsia="it-IT"/>
        </w:rPr>
        <w:t>- l’Assessorato della Famiglia, delle Politiche Sociali e del Lavoro, la Presidenza della Regione Siciliana e la Giunta Regionale di Governo, in persona dei rispettivi legali rappresentanti </w:t>
      </w:r>
      <w:r w:rsidRPr="00977055">
        <w:rPr>
          <w:rFonts w:ascii="Garamond" w:eastAsia="Times New Roman" w:hAnsi="Garamond" w:cs="Times New Roman"/>
          <w:i/>
          <w:iCs/>
          <w:color w:val="000000"/>
          <w:sz w:val="30"/>
          <w:szCs w:val="30"/>
          <w:lang w:eastAsia="it-IT"/>
        </w:rPr>
        <w:t>pro tempore</w:t>
      </w:r>
      <w:r w:rsidRPr="00977055">
        <w:rPr>
          <w:rFonts w:ascii="Garamond" w:eastAsia="Times New Roman" w:hAnsi="Garamond" w:cs="Times New Roman"/>
          <w:color w:val="000000"/>
          <w:sz w:val="30"/>
          <w:szCs w:val="30"/>
          <w:lang w:eastAsia="it-IT"/>
        </w:rPr>
        <w:t>, rappresentati e difesi per legge dall'Avvocatura distrettuale dello Stato, con domicilio fisico in Palermo, via V. Villareale, n. 6;</w:t>
      </w:r>
    </w:p>
    <w:p w14:paraId="03C1F141" w14:textId="77777777" w:rsidR="00977055" w:rsidRPr="00977055" w:rsidRDefault="00977055" w:rsidP="00977055">
      <w:pPr>
        <w:spacing w:after="0" w:line="520" w:lineRule="atLeast"/>
        <w:jc w:val="center"/>
        <w:rPr>
          <w:rFonts w:ascii="Garamond" w:eastAsia="Times New Roman" w:hAnsi="Garamond" w:cs="Times New Roman"/>
          <w:b/>
          <w:bCs/>
          <w:i/>
          <w:iCs/>
          <w:color w:val="000000"/>
          <w:sz w:val="30"/>
          <w:szCs w:val="30"/>
          <w:lang w:eastAsia="it-IT"/>
        </w:rPr>
      </w:pPr>
      <w:r w:rsidRPr="00977055">
        <w:rPr>
          <w:rFonts w:ascii="Garamond" w:eastAsia="Times New Roman" w:hAnsi="Garamond" w:cs="Times New Roman"/>
          <w:b/>
          <w:bCs/>
          <w:i/>
          <w:iCs/>
          <w:color w:val="000000"/>
          <w:sz w:val="30"/>
          <w:szCs w:val="30"/>
          <w:lang w:eastAsia="it-IT"/>
        </w:rPr>
        <w:t>nei confronti</w:t>
      </w:r>
    </w:p>
    <w:p w14:paraId="4250F865" w14:textId="77777777" w:rsidR="00977055" w:rsidRPr="00977055" w:rsidRDefault="00977055" w:rsidP="00977055">
      <w:pPr>
        <w:spacing w:after="0" w:line="520" w:lineRule="atLeast"/>
        <w:jc w:val="both"/>
        <w:rPr>
          <w:rFonts w:ascii="Garamond" w:eastAsia="Times New Roman" w:hAnsi="Garamond" w:cs="Times New Roman"/>
          <w:color w:val="000000"/>
          <w:sz w:val="30"/>
          <w:szCs w:val="30"/>
          <w:lang w:eastAsia="it-IT"/>
        </w:rPr>
      </w:pPr>
      <w:r w:rsidRPr="00977055">
        <w:rPr>
          <w:rFonts w:ascii="Garamond" w:eastAsia="Times New Roman" w:hAnsi="Garamond" w:cs="Times New Roman"/>
          <w:color w:val="000000"/>
          <w:sz w:val="30"/>
          <w:szCs w:val="30"/>
          <w:lang w:eastAsia="it-IT"/>
        </w:rPr>
        <w:t>- di Anffas Onlus Modica in persona del legale rappresentante </w:t>
      </w:r>
      <w:r w:rsidRPr="00977055">
        <w:rPr>
          <w:rFonts w:ascii="Garamond" w:eastAsia="Times New Roman" w:hAnsi="Garamond" w:cs="Times New Roman"/>
          <w:i/>
          <w:iCs/>
          <w:color w:val="000000"/>
          <w:sz w:val="30"/>
          <w:szCs w:val="30"/>
          <w:lang w:eastAsia="it-IT"/>
        </w:rPr>
        <w:t>pro tempore</w:t>
      </w:r>
      <w:r w:rsidRPr="00977055">
        <w:rPr>
          <w:rFonts w:ascii="Garamond" w:eastAsia="Times New Roman" w:hAnsi="Garamond" w:cs="Times New Roman"/>
          <w:color w:val="000000"/>
          <w:sz w:val="30"/>
          <w:szCs w:val="30"/>
          <w:lang w:eastAsia="it-IT"/>
        </w:rPr>
        <w:t> non costituito in giudizio;</w:t>
      </w:r>
    </w:p>
    <w:p w14:paraId="375613DB" w14:textId="77777777" w:rsidR="00977055" w:rsidRPr="00977055" w:rsidRDefault="00977055" w:rsidP="00977055">
      <w:pPr>
        <w:spacing w:after="0" w:line="520" w:lineRule="atLeast"/>
        <w:jc w:val="center"/>
        <w:rPr>
          <w:rFonts w:ascii="Garamond" w:eastAsia="Times New Roman" w:hAnsi="Garamond" w:cs="Times New Roman"/>
          <w:b/>
          <w:bCs/>
          <w:i/>
          <w:iCs/>
          <w:color w:val="000000"/>
          <w:sz w:val="30"/>
          <w:szCs w:val="30"/>
          <w:lang w:eastAsia="it-IT"/>
        </w:rPr>
      </w:pPr>
      <w:r w:rsidRPr="00977055">
        <w:rPr>
          <w:rFonts w:ascii="Garamond" w:eastAsia="Times New Roman" w:hAnsi="Garamond" w:cs="Times New Roman"/>
          <w:b/>
          <w:bCs/>
          <w:i/>
          <w:iCs/>
          <w:color w:val="000000"/>
          <w:sz w:val="30"/>
          <w:szCs w:val="30"/>
          <w:lang w:eastAsia="it-IT"/>
        </w:rPr>
        <w:t>per l'annullamento</w:t>
      </w:r>
    </w:p>
    <w:p w14:paraId="7C44983D" w14:textId="77777777" w:rsidR="00977055" w:rsidRPr="00977055" w:rsidRDefault="00977055" w:rsidP="00977055">
      <w:pPr>
        <w:spacing w:after="0" w:line="520" w:lineRule="atLeast"/>
        <w:jc w:val="both"/>
        <w:rPr>
          <w:rFonts w:ascii="Garamond" w:eastAsia="Times New Roman" w:hAnsi="Garamond" w:cs="Times New Roman"/>
          <w:color w:val="000000"/>
          <w:sz w:val="30"/>
          <w:szCs w:val="30"/>
          <w:lang w:eastAsia="it-IT"/>
        </w:rPr>
      </w:pPr>
      <w:r w:rsidRPr="00977055">
        <w:rPr>
          <w:rFonts w:ascii="Garamond" w:eastAsia="Times New Roman" w:hAnsi="Garamond" w:cs="Times New Roman"/>
          <w:i/>
          <w:iCs/>
          <w:color w:val="000000"/>
          <w:sz w:val="30"/>
          <w:szCs w:val="30"/>
          <w:lang w:eastAsia="it-IT"/>
        </w:rPr>
        <w:lastRenderedPageBreak/>
        <w:t>quanto al ricorso introduttivo</w:t>
      </w:r>
    </w:p>
    <w:p w14:paraId="6E915AA3" w14:textId="77777777" w:rsidR="00977055" w:rsidRPr="00977055" w:rsidRDefault="00977055" w:rsidP="00977055">
      <w:pPr>
        <w:spacing w:after="0" w:line="520" w:lineRule="atLeast"/>
        <w:jc w:val="both"/>
        <w:rPr>
          <w:rFonts w:ascii="Garamond" w:eastAsia="Times New Roman" w:hAnsi="Garamond" w:cs="Times New Roman"/>
          <w:color w:val="000000"/>
          <w:sz w:val="30"/>
          <w:szCs w:val="30"/>
          <w:lang w:eastAsia="it-IT"/>
        </w:rPr>
      </w:pPr>
      <w:r w:rsidRPr="00977055">
        <w:rPr>
          <w:rFonts w:ascii="Garamond" w:eastAsia="Times New Roman" w:hAnsi="Garamond" w:cs="Times New Roman"/>
          <w:color w:val="000000"/>
          <w:sz w:val="30"/>
          <w:szCs w:val="30"/>
          <w:lang w:eastAsia="it-IT"/>
        </w:rPr>
        <w:t>- della delibera della Giunta regionale n. 511 del 12 dicembre 2018;</w:t>
      </w:r>
    </w:p>
    <w:p w14:paraId="594F106E" w14:textId="77777777" w:rsidR="00977055" w:rsidRPr="00977055" w:rsidRDefault="00977055" w:rsidP="00977055">
      <w:pPr>
        <w:spacing w:after="0" w:line="520" w:lineRule="atLeast"/>
        <w:jc w:val="both"/>
        <w:rPr>
          <w:rFonts w:ascii="Garamond" w:eastAsia="Times New Roman" w:hAnsi="Garamond" w:cs="Times New Roman"/>
          <w:color w:val="000000"/>
          <w:sz w:val="30"/>
          <w:szCs w:val="30"/>
          <w:lang w:eastAsia="it-IT"/>
        </w:rPr>
      </w:pPr>
      <w:r w:rsidRPr="00977055">
        <w:rPr>
          <w:rFonts w:ascii="Garamond" w:eastAsia="Times New Roman" w:hAnsi="Garamond" w:cs="Times New Roman"/>
          <w:color w:val="000000"/>
          <w:sz w:val="30"/>
          <w:szCs w:val="30"/>
          <w:lang w:eastAsia="it-IT"/>
        </w:rPr>
        <w:t>- della nota del Dipartimento della famiglia e delle politiche sociali, prot. n. 36890 del 12 novembre 2018, e del relativo elenco nella parte in cui esclude dalla valutazione il progetto presentato dall'Associazione ricorrente, allegata alla delibera di giunta 12 dicembre 2018, n. 511;</w:t>
      </w:r>
    </w:p>
    <w:p w14:paraId="4936377C" w14:textId="77777777" w:rsidR="00977055" w:rsidRPr="00977055" w:rsidRDefault="00977055" w:rsidP="00977055">
      <w:pPr>
        <w:spacing w:after="0" w:line="520" w:lineRule="atLeast"/>
        <w:jc w:val="both"/>
        <w:rPr>
          <w:rFonts w:ascii="Garamond" w:eastAsia="Times New Roman" w:hAnsi="Garamond" w:cs="Times New Roman"/>
          <w:color w:val="000000"/>
          <w:sz w:val="30"/>
          <w:szCs w:val="30"/>
          <w:lang w:eastAsia="it-IT"/>
        </w:rPr>
      </w:pPr>
      <w:r w:rsidRPr="00977055">
        <w:rPr>
          <w:rFonts w:ascii="Garamond" w:eastAsia="Times New Roman" w:hAnsi="Garamond" w:cs="Times New Roman"/>
          <w:color w:val="000000"/>
          <w:sz w:val="30"/>
          <w:szCs w:val="30"/>
          <w:lang w:eastAsia="it-IT"/>
        </w:rPr>
        <w:t>- della nota del Dipartimento regionale della Famiglia e delle politiche sociali, 9 gennaio 2019, prot. n. 684.</w:t>
      </w:r>
    </w:p>
    <w:p w14:paraId="3FFB5CA0" w14:textId="77777777" w:rsidR="00977055" w:rsidRPr="00977055" w:rsidRDefault="00977055" w:rsidP="00977055">
      <w:pPr>
        <w:spacing w:after="0" w:line="240" w:lineRule="auto"/>
        <w:rPr>
          <w:rFonts w:ascii="Times New Roman" w:eastAsia="Times New Roman" w:hAnsi="Times New Roman" w:cs="Times New Roman"/>
          <w:sz w:val="24"/>
          <w:szCs w:val="24"/>
          <w:lang w:eastAsia="it-IT"/>
        </w:rPr>
      </w:pPr>
      <w:r w:rsidRPr="00977055">
        <w:rPr>
          <w:rFonts w:ascii="Times New Roman" w:eastAsia="Times New Roman" w:hAnsi="Times New Roman" w:cs="Times New Roman"/>
          <w:color w:val="000000"/>
          <w:sz w:val="27"/>
          <w:szCs w:val="27"/>
          <w:lang w:eastAsia="it-IT"/>
        </w:rPr>
        <w:br/>
      </w:r>
    </w:p>
    <w:p w14:paraId="291D3207" w14:textId="77777777" w:rsidR="00977055" w:rsidRPr="00977055" w:rsidRDefault="00977055" w:rsidP="00977055">
      <w:pPr>
        <w:spacing w:after="0" w:line="520" w:lineRule="atLeast"/>
        <w:jc w:val="both"/>
        <w:rPr>
          <w:rFonts w:ascii="Garamond" w:eastAsia="Times New Roman" w:hAnsi="Garamond" w:cs="Times New Roman"/>
          <w:color w:val="000000"/>
          <w:sz w:val="30"/>
          <w:szCs w:val="30"/>
          <w:lang w:eastAsia="it-IT"/>
        </w:rPr>
      </w:pPr>
      <w:r w:rsidRPr="00977055">
        <w:rPr>
          <w:rFonts w:ascii="Garamond" w:eastAsia="Times New Roman" w:hAnsi="Garamond" w:cs="Times New Roman"/>
          <w:i/>
          <w:iCs/>
          <w:color w:val="000000"/>
          <w:sz w:val="30"/>
          <w:szCs w:val="30"/>
          <w:lang w:eastAsia="it-IT"/>
        </w:rPr>
        <w:t>e per l’accertamento</w:t>
      </w:r>
    </w:p>
    <w:p w14:paraId="60151075" w14:textId="77777777" w:rsidR="00977055" w:rsidRPr="00977055" w:rsidRDefault="00977055" w:rsidP="00977055">
      <w:pPr>
        <w:spacing w:after="0" w:line="520" w:lineRule="atLeast"/>
        <w:jc w:val="both"/>
        <w:rPr>
          <w:rFonts w:ascii="Garamond" w:eastAsia="Times New Roman" w:hAnsi="Garamond" w:cs="Times New Roman"/>
          <w:color w:val="000000"/>
          <w:sz w:val="30"/>
          <w:szCs w:val="30"/>
          <w:lang w:eastAsia="it-IT"/>
        </w:rPr>
      </w:pPr>
      <w:r w:rsidRPr="00977055">
        <w:rPr>
          <w:rFonts w:ascii="Garamond" w:eastAsia="Times New Roman" w:hAnsi="Garamond" w:cs="Times New Roman"/>
          <w:color w:val="000000"/>
          <w:sz w:val="30"/>
          <w:szCs w:val="30"/>
          <w:lang w:eastAsia="it-IT"/>
        </w:rPr>
        <w:t>- del diritto a ottenere la valutazione del progetto presentato con istanza del 26 ottobre 2018 ai fini dell’erogazione del contributo </w:t>
      </w:r>
      <w:r w:rsidRPr="00977055">
        <w:rPr>
          <w:rFonts w:ascii="Garamond" w:eastAsia="Times New Roman" w:hAnsi="Garamond" w:cs="Times New Roman"/>
          <w:i/>
          <w:iCs/>
          <w:color w:val="000000"/>
          <w:sz w:val="30"/>
          <w:szCs w:val="30"/>
          <w:lang w:eastAsia="it-IT"/>
        </w:rPr>
        <w:t>ex</w:t>
      </w:r>
      <w:r w:rsidRPr="00977055">
        <w:rPr>
          <w:rFonts w:ascii="Garamond" w:eastAsia="Times New Roman" w:hAnsi="Garamond" w:cs="Times New Roman"/>
          <w:color w:val="000000"/>
          <w:sz w:val="30"/>
          <w:szCs w:val="30"/>
          <w:lang w:eastAsia="it-IT"/>
        </w:rPr>
        <w:t xml:space="preserve"> art. 128, </w:t>
      </w:r>
      <w:proofErr w:type="spellStart"/>
      <w:r w:rsidRPr="00977055">
        <w:rPr>
          <w:rFonts w:ascii="Garamond" w:eastAsia="Times New Roman" w:hAnsi="Garamond" w:cs="Times New Roman"/>
          <w:color w:val="000000"/>
          <w:sz w:val="30"/>
          <w:szCs w:val="30"/>
          <w:lang w:eastAsia="it-IT"/>
        </w:rPr>
        <w:t>L.r</w:t>
      </w:r>
      <w:proofErr w:type="spellEnd"/>
      <w:r w:rsidRPr="00977055">
        <w:rPr>
          <w:rFonts w:ascii="Garamond" w:eastAsia="Times New Roman" w:hAnsi="Garamond" w:cs="Times New Roman"/>
          <w:color w:val="000000"/>
          <w:sz w:val="30"/>
          <w:szCs w:val="30"/>
          <w:lang w:eastAsia="it-IT"/>
        </w:rPr>
        <w:t>. n. 11/2010;</w:t>
      </w:r>
    </w:p>
    <w:p w14:paraId="23253125" w14:textId="77777777" w:rsidR="00977055" w:rsidRPr="00977055" w:rsidRDefault="00977055" w:rsidP="00977055">
      <w:pPr>
        <w:spacing w:after="0" w:line="240" w:lineRule="auto"/>
        <w:rPr>
          <w:rFonts w:ascii="Times New Roman" w:eastAsia="Times New Roman" w:hAnsi="Times New Roman" w:cs="Times New Roman"/>
          <w:sz w:val="24"/>
          <w:szCs w:val="24"/>
          <w:lang w:eastAsia="it-IT"/>
        </w:rPr>
      </w:pPr>
      <w:r w:rsidRPr="00977055">
        <w:rPr>
          <w:rFonts w:ascii="Times New Roman" w:eastAsia="Times New Roman" w:hAnsi="Times New Roman" w:cs="Times New Roman"/>
          <w:color w:val="000000"/>
          <w:sz w:val="27"/>
          <w:szCs w:val="27"/>
          <w:lang w:eastAsia="it-IT"/>
        </w:rPr>
        <w:br/>
      </w:r>
    </w:p>
    <w:p w14:paraId="64DB2DB5" w14:textId="77777777" w:rsidR="00977055" w:rsidRPr="00977055" w:rsidRDefault="00977055" w:rsidP="00977055">
      <w:pPr>
        <w:spacing w:after="0" w:line="520" w:lineRule="atLeast"/>
        <w:jc w:val="both"/>
        <w:rPr>
          <w:rFonts w:ascii="Garamond" w:eastAsia="Times New Roman" w:hAnsi="Garamond" w:cs="Times New Roman"/>
          <w:color w:val="000000"/>
          <w:sz w:val="30"/>
          <w:szCs w:val="30"/>
          <w:lang w:eastAsia="it-IT"/>
        </w:rPr>
      </w:pPr>
      <w:r w:rsidRPr="00977055">
        <w:rPr>
          <w:rFonts w:ascii="Garamond" w:eastAsia="Times New Roman" w:hAnsi="Garamond" w:cs="Times New Roman"/>
          <w:i/>
          <w:iCs/>
          <w:color w:val="000000"/>
          <w:sz w:val="30"/>
          <w:szCs w:val="30"/>
          <w:lang w:eastAsia="it-IT"/>
        </w:rPr>
        <w:t>quanto ai motivi aggiunti</w:t>
      </w:r>
    </w:p>
    <w:p w14:paraId="47756DB8" w14:textId="77777777" w:rsidR="00977055" w:rsidRPr="00977055" w:rsidRDefault="00977055" w:rsidP="00977055">
      <w:pPr>
        <w:spacing w:after="0" w:line="520" w:lineRule="atLeast"/>
        <w:jc w:val="both"/>
        <w:rPr>
          <w:rFonts w:ascii="Garamond" w:eastAsia="Times New Roman" w:hAnsi="Garamond" w:cs="Times New Roman"/>
          <w:color w:val="000000"/>
          <w:sz w:val="30"/>
          <w:szCs w:val="30"/>
          <w:lang w:eastAsia="it-IT"/>
        </w:rPr>
      </w:pPr>
      <w:r w:rsidRPr="00977055">
        <w:rPr>
          <w:rFonts w:ascii="Garamond" w:eastAsia="Times New Roman" w:hAnsi="Garamond" w:cs="Times New Roman"/>
          <w:color w:val="000000"/>
          <w:sz w:val="30"/>
          <w:szCs w:val="30"/>
          <w:lang w:eastAsia="it-IT"/>
        </w:rPr>
        <w:t>- della nota prot. n. 3659 del 4 febbraio 2020, dell’Assessorato Regionale della famiglia delle politiche Sociali e del lavoro, con la quale è stato trasmesso l’esito della valutazione del progetto presentato, a cui è stato assegnato il punteggio di 60/100;</w:t>
      </w:r>
    </w:p>
    <w:p w14:paraId="7EFEF412" w14:textId="77777777" w:rsidR="00977055" w:rsidRPr="00977055" w:rsidRDefault="00977055" w:rsidP="00977055">
      <w:pPr>
        <w:spacing w:after="0" w:line="520" w:lineRule="atLeast"/>
        <w:jc w:val="both"/>
        <w:rPr>
          <w:rFonts w:ascii="Garamond" w:eastAsia="Times New Roman" w:hAnsi="Garamond" w:cs="Times New Roman"/>
          <w:color w:val="000000"/>
          <w:sz w:val="30"/>
          <w:szCs w:val="30"/>
          <w:lang w:eastAsia="it-IT"/>
        </w:rPr>
      </w:pPr>
      <w:r w:rsidRPr="00977055">
        <w:rPr>
          <w:rFonts w:ascii="Garamond" w:eastAsia="Times New Roman" w:hAnsi="Garamond" w:cs="Times New Roman"/>
          <w:color w:val="000000"/>
          <w:sz w:val="30"/>
          <w:szCs w:val="30"/>
          <w:lang w:eastAsia="it-IT"/>
        </w:rPr>
        <w:t>- della nota prot. n. 4005 del 6 febbraio 2020dell’Assessorato Regionale della famiglia delle politiche Sociali e del lavoro, di medesimo contenuto, depositata agli atti del giudizio il 18 febbraio 2020;</w:t>
      </w:r>
    </w:p>
    <w:p w14:paraId="15E65AA4" w14:textId="77777777" w:rsidR="00977055" w:rsidRPr="00977055" w:rsidRDefault="00977055" w:rsidP="00977055">
      <w:pPr>
        <w:spacing w:after="0" w:line="520" w:lineRule="atLeast"/>
        <w:jc w:val="both"/>
        <w:rPr>
          <w:rFonts w:ascii="Garamond" w:eastAsia="Times New Roman" w:hAnsi="Garamond" w:cs="Times New Roman"/>
          <w:color w:val="000000"/>
          <w:sz w:val="30"/>
          <w:szCs w:val="30"/>
          <w:lang w:eastAsia="it-IT"/>
        </w:rPr>
      </w:pPr>
      <w:r w:rsidRPr="00977055">
        <w:rPr>
          <w:rFonts w:ascii="Garamond" w:eastAsia="Times New Roman" w:hAnsi="Garamond" w:cs="Times New Roman"/>
          <w:color w:val="000000"/>
          <w:sz w:val="30"/>
          <w:szCs w:val="30"/>
          <w:lang w:eastAsia="it-IT"/>
        </w:rPr>
        <w:t>- del verbale del 11 giugno 2020 della Commissione di valutazione riconvocata per eseguire l’esame dei “progetti gravati dai ricorsi”;</w:t>
      </w:r>
    </w:p>
    <w:p w14:paraId="4130020C" w14:textId="77777777" w:rsidR="00977055" w:rsidRPr="00977055" w:rsidRDefault="00977055" w:rsidP="00977055">
      <w:pPr>
        <w:spacing w:after="0" w:line="520" w:lineRule="atLeast"/>
        <w:jc w:val="both"/>
        <w:rPr>
          <w:rFonts w:ascii="Garamond" w:eastAsia="Times New Roman" w:hAnsi="Garamond" w:cs="Times New Roman"/>
          <w:color w:val="000000"/>
          <w:sz w:val="30"/>
          <w:szCs w:val="30"/>
          <w:lang w:eastAsia="it-IT"/>
        </w:rPr>
      </w:pPr>
      <w:r w:rsidRPr="00977055">
        <w:rPr>
          <w:rFonts w:ascii="Garamond" w:eastAsia="Times New Roman" w:hAnsi="Garamond" w:cs="Times New Roman"/>
          <w:color w:val="000000"/>
          <w:sz w:val="30"/>
          <w:szCs w:val="30"/>
          <w:lang w:eastAsia="it-IT"/>
        </w:rPr>
        <w:t>- della scheda di valutazione allegata al verbale della Commissione di valutazione del 11 giugno 2020;</w:t>
      </w:r>
    </w:p>
    <w:p w14:paraId="69CB503D" w14:textId="77777777" w:rsidR="00977055" w:rsidRPr="00977055" w:rsidRDefault="00977055" w:rsidP="00977055">
      <w:pPr>
        <w:spacing w:after="0" w:line="520" w:lineRule="atLeast"/>
        <w:jc w:val="both"/>
        <w:rPr>
          <w:rFonts w:ascii="Garamond" w:eastAsia="Times New Roman" w:hAnsi="Garamond" w:cs="Times New Roman"/>
          <w:color w:val="000000"/>
          <w:sz w:val="30"/>
          <w:szCs w:val="30"/>
          <w:lang w:eastAsia="it-IT"/>
        </w:rPr>
      </w:pPr>
      <w:r w:rsidRPr="00977055">
        <w:rPr>
          <w:rFonts w:ascii="Garamond" w:eastAsia="Times New Roman" w:hAnsi="Garamond" w:cs="Times New Roman"/>
          <w:color w:val="000000"/>
          <w:sz w:val="30"/>
          <w:szCs w:val="30"/>
          <w:lang w:eastAsia="it-IT"/>
        </w:rPr>
        <w:t>- dei criteri elaborati nell’avviso per l’attribuzione del punteggio;</w:t>
      </w:r>
    </w:p>
    <w:p w14:paraId="37D211BF" w14:textId="77777777" w:rsidR="00977055" w:rsidRPr="00977055" w:rsidRDefault="00977055" w:rsidP="00977055">
      <w:pPr>
        <w:spacing w:after="0" w:line="240" w:lineRule="auto"/>
        <w:rPr>
          <w:rFonts w:ascii="Times New Roman" w:eastAsia="Times New Roman" w:hAnsi="Times New Roman" w:cs="Times New Roman"/>
          <w:sz w:val="24"/>
          <w:szCs w:val="24"/>
          <w:lang w:eastAsia="it-IT"/>
        </w:rPr>
      </w:pPr>
      <w:r w:rsidRPr="00977055">
        <w:rPr>
          <w:rFonts w:ascii="Times New Roman" w:eastAsia="Times New Roman" w:hAnsi="Times New Roman" w:cs="Times New Roman"/>
          <w:color w:val="000000"/>
          <w:sz w:val="27"/>
          <w:szCs w:val="27"/>
          <w:lang w:eastAsia="it-IT"/>
        </w:rPr>
        <w:br/>
      </w:r>
    </w:p>
    <w:p w14:paraId="10FFA135" w14:textId="77777777" w:rsidR="00977055" w:rsidRPr="00977055" w:rsidRDefault="00977055" w:rsidP="00977055">
      <w:pPr>
        <w:spacing w:after="0" w:line="520" w:lineRule="atLeast"/>
        <w:jc w:val="both"/>
        <w:rPr>
          <w:rFonts w:ascii="Garamond" w:eastAsia="Times New Roman" w:hAnsi="Garamond" w:cs="Times New Roman"/>
          <w:color w:val="000000"/>
          <w:sz w:val="30"/>
          <w:szCs w:val="30"/>
          <w:lang w:eastAsia="it-IT"/>
        </w:rPr>
      </w:pPr>
      <w:r w:rsidRPr="00977055">
        <w:rPr>
          <w:rFonts w:ascii="Garamond" w:eastAsia="Times New Roman" w:hAnsi="Garamond" w:cs="Times New Roman"/>
          <w:color w:val="000000"/>
          <w:sz w:val="30"/>
          <w:szCs w:val="30"/>
          <w:lang w:eastAsia="it-IT"/>
        </w:rPr>
        <w:t>Visti il ricorso introduttivo, i motivi aggiunti e i relativi allegati;</w:t>
      </w:r>
    </w:p>
    <w:p w14:paraId="39D83968" w14:textId="77777777" w:rsidR="00977055" w:rsidRPr="00977055" w:rsidRDefault="00977055" w:rsidP="00977055">
      <w:pPr>
        <w:spacing w:after="0" w:line="520" w:lineRule="atLeast"/>
        <w:jc w:val="both"/>
        <w:rPr>
          <w:rFonts w:ascii="Garamond" w:eastAsia="Times New Roman" w:hAnsi="Garamond" w:cs="Times New Roman"/>
          <w:color w:val="000000"/>
          <w:sz w:val="30"/>
          <w:szCs w:val="30"/>
          <w:lang w:eastAsia="it-IT"/>
        </w:rPr>
      </w:pPr>
      <w:r w:rsidRPr="00977055">
        <w:rPr>
          <w:rFonts w:ascii="Garamond" w:eastAsia="Times New Roman" w:hAnsi="Garamond" w:cs="Times New Roman"/>
          <w:color w:val="000000"/>
          <w:sz w:val="30"/>
          <w:szCs w:val="30"/>
          <w:lang w:eastAsia="it-IT"/>
        </w:rPr>
        <w:lastRenderedPageBreak/>
        <w:t>Visti l’atto di formale costituzione in giudizio e la documentazione depositati dall’Assessorato della Famiglia, delle Politiche Sociali e del Lavoro, dalla Presidenza della Regione Siciliana e dalla Giunta Regionale;</w:t>
      </w:r>
    </w:p>
    <w:p w14:paraId="371F2BBD" w14:textId="77777777" w:rsidR="00977055" w:rsidRPr="00977055" w:rsidRDefault="00977055" w:rsidP="00977055">
      <w:pPr>
        <w:spacing w:after="0" w:line="520" w:lineRule="atLeast"/>
        <w:jc w:val="both"/>
        <w:rPr>
          <w:rFonts w:ascii="Garamond" w:eastAsia="Times New Roman" w:hAnsi="Garamond" w:cs="Times New Roman"/>
          <w:color w:val="000000"/>
          <w:sz w:val="30"/>
          <w:szCs w:val="30"/>
          <w:lang w:eastAsia="it-IT"/>
        </w:rPr>
      </w:pPr>
      <w:r w:rsidRPr="00977055">
        <w:rPr>
          <w:rFonts w:ascii="Garamond" w:eastAsia="Times New Roman" w:hAnsi="Garamond" w:cs="Times New Roman"/>
          <w:color w:val="000000"/>
          <w:sz w:val="30"/>
          <w:szCs w:val="30"/>
          <w:lang w:eastAsia="it-IT"/>
        </w:rPr>
        <w:t>Vista l’ordinanza collegiale n. 512 del 18 aprile 2019;</w:t>
      </w:r>
    </w:p>
    <w:p w14:paraId="41DDCD26" w14:textId="77777777" w:rsidR="00977055" w:rsidRPr="00977055" w:rsidRDefault="00977055" w:rsidP="00977055">
      <w:pPr>
        <w:spacing w:after="0" w:line="520" w:lineRule="atLeast"/>
        <w:jc w:val="both"/>
        <w:rPr>
          <w:rFonts w:ascii="Garamond" w:eastAsia="Times New Roman" w:hAnsi="Garamond" w:cs="Times New Roman"/>
          <w:color w:val="000000"/>
          <w:sz w:val="30"/>
          <w:szCs w:val="30"/>
          <w:lang w:eastAsia="it-IT"/>
        </w:rPr>
      </w:pPr>
      <w:r w:rsidRPr="00977055">
        <w:rPr>
          <w:rFonts w:ascii="Garamond" w:eastAsia="Times New Roman" w:hAnsi="Garamond" w:cs="Times New Roman"/>
          <w:color w:val="000000"/>
          <w:sz w:val="30"/>
          <w:szCs w:val="30"/>
          <w:lang w:eastAsia="it-IT"/>
        </w:rPr>
        <w:t>Vista l’ordinanza collegiale n.1806 del 2 settembre 2020;</w:t>
      </w:r>
    </w:p>
    <w:p w14:paraId="7513FC53" w14:textId="77777777" w:rsidR="00977055" w:rsidRPr="00977055" w:rsidRDefault="00977055" w:rsidP="00977055">
      <w:pPr>
        <w:spacing w:after="0" w:line="520" w:lineRule="atLeast"/>
        <w:jc w:val="both"/>
        <w:rPr>
          <w:rFonts w:ascii="Garamond" w:eastAsia="Times New Roman" w:hAnsi="Garamond" w:cs="Times New Roman"/>
          <w:color w:val="000000"/>
          <w:sz w:val="30"/>
          <w:szCs w:val="30"/>
          <w:lang w:eastAsia="it-IT"/>
        </w:rPr>
      </w:pPr>
      <w:r w:rsidRPr="00977055">
        <w:rPr>
          <w:rFonts w:ascii="Garamond" w:eastAsia="Times New Roman" w:hAnsi="Garamond" w:cs="Times New Roman"/>
          <w:color w:val="000000"/>
          <w:sz w:val="30"/>
          <w:szCs w:val="30"/>
          <w:lang w:eastAsia="it-IT"/>
        </w:rPr>
        <w:t>Vista la sentenza parziale n.870 del 16 marzo 2021, di questa sezione;</w:t>
      </w:r>
    </w:p>
    <w:p w14:paraId="1AC3EDF9" w14:textId="77777777" w:rsidR="00977055" w:rsidRPr="00977055" w:rsidRDefault="00977055" w:rsidP="00977055">
      <w:pPr>
        <w:spacing w:after="0" w:line="520" w:lineRule="atLeast"/>
        <w:jc w:val="both"/>
        <w:rPr>
          <w:rFonts w:ascii="Garamond" w:eastAsia="Times New Roman" w:hAnsi="Garamond" w:cs="Times New Roman"/>
          <w:color w:val="000000"/>
          <w:sz w:val="30"/>
          <w:szCs w:val="30"/>
          <w:lang w:eastAsia="it-IT"/>
        </w:rPr>
      </w:pPr>
      <w:r w:rsidRPr="00977055">
        <w:rPr>
          <w:rFonts w:ascii="Garamond" w:eastAsia="Times New Roman" w:hAnsi="Garamond" w:cs="Times New Roman"/>
          <w:color w:val="000000"/>
          <w:sz w:val="30"/>
          <w:szCs w:val="30"/>
          <w:lang w:eastAsia="it-IT"/>
        </w:rPr>
        <w:t>Viste le memorie difensive e di replica e le note d’udienza;</w:t>
      </w:r>
    </w:p>
    <w:p w14:paraId="698D19A2" w14:textId="77777777" w:rsidR="00977055" w:rsidRPr="00977055" w:rsidRDefault="00977055" w:rsidP="00977055">
      <w:pPr>
        <w:spacing w:after="0" w:line="520" w:lineRule="atLeast"/>
        <w:jc w:val="both"/>
        <w:rPr>
          <w:rFonts w:ascii="Garamond" w:eastAsia="Times New Roman" w:hAnsi="Garamond" w:cs="Times New Roman"/>
          <w:color w:val="000000"/>
          <w:sz w:val="30"/>
          <w:szCs w:val="30"/>
          <w:lang w:eastAsia="it-IT"/>
        </w:rPr>
      </w:pPr>
      <w:r w:rsidRPr="00977055">
        <w:rPr>
          <w:rFonts w:ascii="Garamond" w:eastAsia="Times New Roman" w:hAnsi="Garamond" w:cs="Times New Roman"/>
          <w:color w:val="000000"/>
          <w:sz w:val="30"/>
          <w:szCs w:val="30"/>
          <w:lang w:eastAsia="it-IT"/>
        </w:rPr>
        <w:t>Visti tutti gli atti della causa;</w:t>
      </w:r>
    </w:p>
    <w:p w14:paraId="651D542F" w14:textId="77777777" w:rsidR="00977055" w:rsidRPr="00977055" w:rsidRDefault="00977055" w:rsidP="00977055">
      <w:pPr>
        <w:spacing w:after="0" w:line="520" w:lineRule="atLeast"/>
        <w:jc w:val="both"/>
        <w:rPr>
          <w:rFonts w:ascii="Garamond" w:eastAsia="Times New Roman" w:hAnsi="Garamond" w:cs="Times New Roman"/>
          <w:color w:val="000000"/>
          <w:sz w:val="30"/>
          <w:szCs w:val="30"/>
          <w:lang w:eastAsia="it-IT"/>
        </w:rPr>
      </w:pPr>
      <w:r w:rsidRPr="00977055">
        <w:rPr>
          <w:rFonts w:ascii="Garamond" w:eastAsia="Times New Roman" w:hAnsi="Garamond" w:cs="Times New Roman"/>
          <w:color w:val="000000"/>
          <w:sz w:val="30"/>
          <w:szCs w:val="30"/>
          <w:lang w:eastAsia="it-IT"/>
        </w:rPr>
        <w:t>Relatore la dott.ssa Anna Pignataro;</w:t>
      </w:r>
    </w:p>
    <w:p w14:paraId="31338457" w14:textId="77777777" w:rsidR="00977055" w:rsidRPr="00977055" w:rsidRDefault="00977055" w:rsidP="00977055">
      <w:pPr>
        <w:spacing w:after="0" w:line="520" w:lineRule="atLeast"/>
        <w:jc w:val="both"/>
        <w:rPr>
          <w:rFonts w:ascii="Garamond" w:eastAsia="Times New Roman" w:hAnsi="Garamond" w:cs="Times New Roman"/>
          <w:color w:val="000000"/>
          <w:sz w:val="30"/>
          <w:szCs w:val="30"/>
          <w:lang w:eastAsia="it-IT"/>
        </w:rPr>
      </w:pPr>
      <w:r w:rsidRPr="00977055">
        <w:rPr>
          <w:rFonts w:ascii="Garamond" w:eastAsia="Times New Roman" w:hAnsi="Garamond" w:cs="Times New Roman"/>
          <w:color w:val="000000"/>
          <w:sz w:val="30"/>
          <w:szCs w:val="30"/>
          <w:lang w:eastAsia="it-IT"/>
        </w:rPr>
        <w:t>Udito, nell’udienza pubblica del 7 ottobre 2021, il difensore di parte ricorrente presente così come indicato a verbale;</w:t>
      </w:r>
    </w:p>
    <w:p w14:paraId="2068BB59" w14:textId="77777777" w:rsidR="00977055" w:rsidRPr="00977055" w:rsidRDefault="00977055" w:rsidP="00977055">
      <w:pPr>
        <w:spacing w:after="0" w:line="240" w:lineRule="auto"/>
        <w:rPr>
          <w:rFonts w:ascii="Times New Roman" w:eastAsia="Times New Roman" w:hAnsi="Times New Roman" w:cs="Times New Roman"/>
          <w:sz w:val="24"/>
          <w:szCs w:val="24"/>
          <w:lang w:eastAsia="it-IT"/>
        </w:rPr>
      </w:pPr>
      <w:r w:rsidRPr="00977055">
        <w:rPr>
          <w:rFonts w:ascii="Times New Roman" w:eastAsia="Times New Roman" w:hAnsi="Times New Roman" w:cs="Times New Roman"/>
          <w:color w:val="000000"/>
          <w:sz w:val="27"/>
          <w:szCs w:val="27"/>
          <w:lang w:eastAsia="it-IT"/>
        </w:rPr>
        <w:br/>
      </w:r>
    </w:p>
    <w:p w14:paraId="6CE81295" w14:textId="77777777" w:rsidR="00977055" w:rsidRPr="00977055" w:rsidRDefault="00977055" w:rsidP="00977055">
      <w:pPr>
        <w:spacing w:after="0" w:line="520" w:lineRule="atLeast"/>
        <w:jc w:val="both"/>
        <w:rPr>
          <w:rFonts w:ascii="Garamond" w:eastAsia="Times New Roman" w:hAnsi="Garamond" w:cs="Times New Roman"/>
          <w:color w:val="000000"/>
          <w:sz w:val="30"/>
          <w:szCs w:val="30"/>
          <w:lang w:eastAsia="it-IT"/>
        </w:rPr>
      </w:pPr>
      <w:r w:rsidRPr="00977055">
        <w:rPr>
          <w:rFonts w:ascii="Garamond" w:eastAsia="Times New Roman" w:hAnsi="Garamond" w:cs="Times New Roman"/>
          <w:color w:val="000000"/>
          <w:sz w:val="30"/>
          <w:szCs w:val="30"/>
          <w:lang w:eastAsia="it-IT"/>
        </w:rPr>
        <w:t>PREMESSO che con la sentenza parziale n.870 del 16 marzo 2021 – alla quale si rinvia per sinteticità relativamente alla narrazione in fatto - è stato accolto il ricorso introduttivo in epigrafe e, per l’effetto, annullati gli atti ivi impugnati;</w:t>
      </w:r>
    </w:p>
    <w:p w14:paraId="1E1DC263" w14:textId="77777777" w:rsidR="00977055" w:rsidRPr="00977055" w:rsidRDefault="00977055" w:rsidP="00977055">
      <w:pPr>
        <w:spacing w:after="0" w:line="520" w:lineRule="atLeast"/>
        <w:jc w:val="both"/>
        <w:rPr>
          <w:rFonts w:ascii="Garamond" w:eastAsia="Times New Roman" w:hAnsi="Garamond" w:cs="Times New Roman"/>
          <w:color w:val="000000"/>
          <w:sz w:val="30"/>
          <w:szCs w:val="30"/>
          <w:lang w:eastAsia="it-IT"/>
        </w:rPr>
      </w:pPr>
      <w:r w:rsidRPr="00977055">
        <w:rPr>
          <w:rFonts w:ascii="Garamond" w:eastAsia="Times New Roman" w:hAnsi="Garamond" w:cs="Times New Roman"/>
          <w:color w:val="000000"/>
          <w:sz w:val="30"/>
          <w:szCs w:val="30"/>
          <w:lang w:eastAsia="it-IT"/>
        </w:rPr>
        <w:t>CONSIDERATO che parte ricorrente:</w:t>
      </w:r>
    </w:p>
    <w:p w14:paraId="76B704F0" w14:textId="77777777" w:rsidR="00977055" w:rsidRPr="00977055" w:rsidRDefault="00977055" w:rsidP="00977055">
      <w:pPr>
        <w:spacing w:after="0" w:line="520" w:lineRule="atLeast"/>
        <w:jc w:val="both"/>
        <w:rPr>
          <w:rFonts w:ascii="Garamond" w:eastAsia="Times New Roman" w:hAnsi="Garamond" w:cs="Times New Roman"/>
          <w:color w:val="000000"/>
          <w:sz w:val="30"/>
          <w:szCs w:val="30"/>
          <w:lang w:eastAsia="it-IT"/>
        </w:rPr>
      </w:pPr>
      <w:r w:rsidRPr="00977055">
        <w:rPr>
          <w:rFonts w:ascii="Garamond" w:eastAsia="Times New Roman" w:hAnsi="Garamond" w:cs="Times New Roman"/>
          <w:color w:val="000000"/>
          <w:sz w:val="30"/>
          <w:szCs w:val="30"/>
          <w:lang w:eastAsia="it-IT"/>
        </w:rPr>
        <w:t>- con motivi aggiunti notificati il 2 aprile 2020 e depositati il 17 aprile 2020, ha impugnato, al fine dell’annullamento, la nota n. 3659 del 4 febbraio 2020, con la quale l’Assessorato resistente ha negato il contributo poiché è stato assegnato dalla Commissione di valutazione il punteggio di 60/100, inferiore a quello minimo di 70/100 previsto nell’avviso; ne deduce l’illegittimità per motivi di:</w:t>
      </w:r>
    </w:p>
    <w:p w14:paraId="66455522" w14:textId="77777777" w:rsidR="00977055" w:rsidRPr="00977055" w:rsidRDefault="00977055" w:rsidP="00977055">
      <w:pPr>
        <w:spacing w:after="0" w:line="520" w:lineRule="atLeast"/>
        <w:jc w:val="both"/>
        <w:rPr>
          <w:rFonts w:ascii="Garamond" w:eastAsia="Times New Roman" w:hAnsi="Garamond" w:cs="Times New Roman"/>
          <w:color w:val="000000"/>
          <w:sz w:val="30"/>
          <w:szCs w:val="30"/>
          <w:lang w:eastAsia="it-IT"/>
        </w:rPr>
      </w:pPr>
      <w:r w:rsidRPr="00977055">
        <w:rPr>
          <w:rFonts w:ascii="Garamond" w:eastAsia="Times New Roman" w:hAnsi="Garamond" w:cs="Times New Roman"/>
          <w:i/>
          <w:iCs/>
          <w:color w:val="000000"/>
          <w:sz w:val="30"/>
          <w:szCs w:val="30"/>
          <w:lang w:eastAsia="it-IT"/>
        </w:rPr>
        <w:t xml:space="preserve">“I. Violazione e falsa applicazione dell’art. 128, co. 8 bis, </w:t>
      </w:r>
      <w:proofErr w:type="spellStart"/>
      <w:r w:rsidRPr="00977055">
        <w:rPr>
          <w:rFonts w:ascii="Garamond" w:eastAsia="Times New Roman" w:hAnsi="Garamond" w:cs="Times New Roman"/>
          <w:i/>
          <w:iCs/>
          <w:color w:val="000000"/>
          <w:sz w:val="30"/>
          <w:szCs w:val="30"/>
          <w:lang w:eastAsia="it-IT"/>
        </w:rPr>
        <w:t>l.r</w:t>
      </w:r>
      <w:proofErr w:type="spellEnd"/>
      <w:r w:rsidRPr="00977055">
        <w:rPr>
          <w:rFonts w:ascii="Garamond" w:eastAsia="Times New Roman" w:hAnsi="Garamond" w:cs="Times New Roman"/>
          <w:i/>
          <w:iCs/>
          <w:color w:val="000000"/>
          <w:sz w:val="30"/>
          <w:szCs w:val="30"/>
          <w:lang w:eastAsia="it-IT"/>
        </w:rPr>
        <w:t xml:space="preserve">. n. 11/2010. Violazione e falsa applicazione del </w:t>
      </w:r>
      <w:proofErr w:type="spellStart"/>
      <w:r w:rsidRPr="00977055">
        <w:rPr>
          <w:rFonts w:ascii="Garamond" w:eastAsia="Times New Roman" w:hAnsi="Garamond" w:cs="Times New Roman"/>
          <w:i/>
          <w:iCs/>
          <w:color w:val="000000"/>
          <w:sz w:val="30"/>
          <w:szCs w:val="30"/>
          <w:lang w:eastAsia="it-IT"/>
        </w:rPr>
        <w:t>d.a</w:t>
      </w:r>
      <w:proofErr w:type="spellEnd"/>
      <w:r w:rsidRPr="00977055">
        <w:rPr>
          <w:rFonts w:ascii="Garamond" w:eastAsia="Times New Roman" w:hAnsi="Garamond" w:cs="Times New Roman"/>
          <w:i/>
          <w:iCs/>
          <w:color w:val="000000"/>
          <w:sz w:val="30"/>
          <w:szCs w:val="30"/>
          <w:lang w:eastAsia="it-IT"/>
        </w:rPr>
        <w:t>. 6 novembre 2018 n. 121/</w:t>
      </w:r>
      <w:proofErr w:type="spellStart"/>
      <w:r w:rsidRPr="00977055">
        <w:rPr>
          <w:rFonts w:ascii="Garamond" w:eastAsia="Times New Roman" w:hAnsi="Garamond" w:cs="Times New Roman"/>
          <w:i/>
          <w:iCs/>
          <w:color w:val="000000"/>
          <w:sz w:val="30"/>
          <w:szCs w:val="30"/>
          <w:lang w:eastAsia="it-IT"/>
        </w:rPr>
        <w:t>gab</w:t>
      </w:r>
      <w:proofErr w:type="spellEnd"/>
      <w:r w:rsidRPr="00977055">
        <w:rPr>
          <w:rFonts w:ascii="Garamond" w:eastAsia="Times New Roman" w:hAnsi="Garamond" w:cs="Times New Roman"/>
          <w:i/>
          <w:iCs/>
          <w:color w:val="000000"/>
          <w:sz w:val="30"/>
          <w:szCs w:val="30"/>
          <w:lang w:eastAsia="it-IT"/>
        </w:rPr>
        <w:t>. Violazione del principio del collegio perfetto”.</w:t>
      </w:r>
    </w:p>
    <w:p w14:paraId="0CDFF390" w14:textId="77777777" w:rsidR="00977055" w:rsidRPr="00977055" w:rsidRDefault="00977055" w:rsidP="00977055">
      <w:pPr>
        <w:spacing w:after="0" w:line="520" w:lineRule="atLeast"/>
        <w:jc w:val="both"/>
        <w:rPr>
          <w:rFonts w:ascii="Garamond" w:eastAsia="Times New Roman" w:hAnsi="Garamond" w:cs="Times New Roman"/>
          <w:color w:val="000000"/>
          <w:sz w:val="30"/>
          <w:szCs w:val="30"/>
          <w:lang w:eastAsia="it-IT"/>
        </w:rPr>
      </w:pPr>
      <w:r w:rsidRPr="00977055">
        <w:rPr>
          <w:rFonts w:ascii="Garamond" w:eastAsia="Times New Roman" w:hAnsi="Garamond" w:cs="Times New Roman"/>
          <w:color w:val="000000"/>
          <w:sz w:val="30"/>
          <w:szCs w:val="30"/>
          <w:lang w:eastAsia="it-IT"/>
        </w:rPr>
        <w:t>La Commissione di valutazione nominata ai sensi dell’art. 1, comma 8 </w:t>
      </w:r>
      <w:r w:rsidRPr="00977055">
        <w:rPr>
          <w:rFonts w:ascii="Garamond" w:eastAsia="Times New Roman" w:hAnsi="Garamond" w:cs="Times New Roman"/>
          <w:i/>
          <w:iCs/>
          <w:color w:val="000000"/>
          <w:sz w:val="30"/>
          <w:szCs w:val="30"/>
          <w:lang w:eastAsia="it-IT"/>
        </w:rPr>
        <w:t>bis,</w:t>
      </w:r>
      <w:r w:rsidRPr="00977055">
        <w:rPr>
          <w:rFonts w:ascii="Garamond" w:eastAsia="Times New Roman" w:hAnsi="Garamond" w:cs="Times New Roman"/>
          <w:color w:val="000000"/>
          <w:sz w:val="30"/>
          <w:szCs w:val="30"/>
          <w:lang w:eastAsia="it-IT"/>
        </w:rPr>
        <w:t xml:space="preserve"> della legge regionale 21 agosto 2013, n. 16, in quanto chiamata a compiere una valutazione tecnico-discrezionale, ha natura di collegio perfetto: ciononostante, nella seduta del giorno 11 giugno 2020, appositamente convocata per dare esecuzione all’ordinanza </w:t>
      </w:r>
      <w:r w:rsidRPr="00977055">
        <w:rPr>
          <w:rFonts w:ascii="Garamond" w:eastAsia="Times New Roman" w:hAnsi="Garamond" w:cs="Times New Roman"/>
          <w:color w:val="000000"/>
          <w:sz w:val="30"/>
          <w:szCs w:val="30"/>
          <w:lang w:eastAsia="it-IT"/>
        </w:rPr>
        <w:lastRenderedPageBreak/>
        <w:t>cautelare n. 512/2019, non ha agito nel suo </w:t>
      </w:r>
      <w:r w:rsidRPr="00977055">
        <w:rPr>
          <w:rFonts w:ascii="Garamond" w:eastAsia="Times New Roman" w:hAnsi="Garamond" w:cs="Times New Roman"/>
          <w:i/>
          <w:iCs/>
          <w:color w:val="000000"/>
          <w:sz w:val="30"/>
          <w:szCs w:val="30"/>
          <w:lang w:eastAsia="it-IT"/>
        </w:rPr>
        <w:t>plenum</w:t>
      </w:r>
      <w:r w:rsidRPr="00977055">
        <w:rPr>
          <w:rFonts w:ascii="Garamond" w:eastAsia="Times New Roman" w:hAnsi="Garamond" w:cs="Times New Roman"/>
          <w:color w:val="000000"/>
          <w:sz w:val="30"/>
          <w:szCs w:val="30"/>
          <w:lang w:eastAsia="it-IT"/>
        </w:rPr>
        <w:t>, a causa dell’assenza verbalizzata di quattro dei dodici componenti; in ogni caso, la predetta Commissione risultava composta da un numero pari di componenti in violazione del principio secondo il quale il loro numero deve essere dispari a tutela del principio maggioritario;</w:t>
      </w:r>
    </w:p>
    <w:p w14:paraId="068F989C" w14:textId="77777777" w:rsidR="00977055" w:rsidRPr="00977055" w:rsidRDefault="00977055" w:rsidP="00977055">
      <w:pPr>
        <w:spacing w:after="0" w:line="520" w:lineRule="atLeast"/>
        <w:jc w:val="both"/>
        <w:rPr>
          <w:rFonts w:ascii="Garamond" w:eastAsia="Times New Roman" w:hAnsi="Garamond" w:cs="Times New Roman"/>
          <w:color w:val="000000"/>
          <w:sz w:val="30"/>
          <w:szCs w:val="30"/>
          <w:lang w:eastAsia="it-IT"/>
        </w:rPr>
      </w:pPr>
      <w:r w:rsidRPr="00977055">
        <w:rPr>
          <w:rFonts w:ascii="Garamond" w:eastAsia="Times New Roman" w:hAnsi="Garamond" w:cs="Times New Roman"/>
          <w:color w:val="000000"/>
          <w:sz w:val="30"/>
          <w:szCs w:val="30"/>
          <w:lang w:eastAsia="it-IT"/>
        </w:rPr>
        <w:t>“</w:t>
      </w:r>
      <w:r w:rsidRPr="00977055">
        <w:rPr>
          <w:rFonts w:ascii="Garamond" w:eastAsia="Times New Roman" w:hAnsi="Garamond" w:cs="Times New Roman"/>
          <w:i/>
          <w:iCs/>
          <w:color w:val="000000"/>
          <w:sz w:val="30"/>
          <w:szCs w:val="30"/>
          <w:lang w:eastAsia="it-IT"/>
        </w:rPr>
        <w:t xml:space="preserve">II. Violazione e falsa applicazione dell’art. 128, </w:t>
      </w:r>
      <w:proofErr w:type="spellStart"/>
      <w:r w:rsidRPr="00977055">
        <w:rPr>
          <w:rFonts w:ascii="Garamond" w:eastAsia="Times New Roman" w:hAnsi="Garamond" w:cs="Times New Roman"/>
          <w:i/>
          <w:iCs/>
          <w:color w:val="000000"/>
          <w:sz w:val="30"/>
          <w:szCs w:val="30"/>
          <w:lang w:eastAsia="it-IT"/>
        </w:rPr>
        <w:t>l.r</w:t>
      </w:r>
      <w:proofErr w:type="spellEnd"/>
      <w:r w:rsidRPr="00977055">
        <w:rPr>
          <w:rFonts w:ascii="Garamond" w:eastAsia="Times New Roman" w:hAnsi="Garamond" w:cs="Times New Roman"/>
          <w:i/>
          <w:iCs/>
          <w:color w:val="000000"/>
          <w:sz w:val="30"/>
          <w:szCs w:val="30"/>
          <w:lang w:eastAsia="it-IT"/>
        </w:rPr>
        <w:t xml:space="preserve">. n. 11/2010. Violazione e falsa applicazione dell’avviso pubblicato sulla </w:t>
      </w:r>
      <w:proofErr w:type="spellStart"/>
      <w:r w:rsidRPr="00977055">
        <w:rPr>
          <w:rFonts w:ascii="Garamond" w:eastAsia="Times New Roman" w:hAnsi="Garamond" w:cs="Times New Roman"/>
          <w:i/>
          <w:iCs/>
          <w:color w:val="000000"/>
          <w:sz w:val="30"/>
          <w:szCs w:val="30"/>
          <w:lang w:eastAsia="it-IT"/>
        </w:rPr>
        <w:t>G.u.r.s</w:t>
      </w:r>
      <w:proofErr w:type="spellEnd"/>
      <w:r w:rsidRPr="00977055">
        <w:rPr>
          <w:rFonts w:ascii="Garamond" w:eastAsia="Times New Roman" w:hAnsi="Garamond" w:cs="Times New Roman"/>
          <w:i/>
          <w:iCs/>
          <w:color w:val="000000"/>
          <w:sz w:val="30"/>
          <w:szCs w:val="30"/>
          <w:lang w:eastAsia="it-IT"/>
        </w:rPr>
        <w:t>. n. 44 del 12 ottobre 2018. Violazione e falsa applicazione dell’art. 3, l. n. 241/1990. Difetto di motivazione. Eccesso di potere per carenza di adeguata istruttoria. Eccesso di potere per contraddittorietà estrinseca</w:t>
      </w:r>
      <w:r w:rsidRPr="00977055">
        <w:rPr>
          <w:rFonts w:ascii="Garamond" w:eastAsia="Times New Roman" w:hAnsi="Garamond" w:cs="Times New Roman"/>
          <w:color w:val="000000"/>
          <w:sz w:val="30"/>
          <w:szCs w:val="30"/>
          <w:lang w:eastAsia="it-IT"/>
        </w:rPr>
        <w:t>”.</w:t>
      </w:r>
    </w:p>
    <w:p w14:paraId="4DDE3C1D" w14:textId="77777777" w:rsidR="00977055" w:rsidRPr="00977055" w:rsidRDefault="00977055" w:rsidP="00977055">
      <w:pPr>
        <w:spacing w:after="0" w:line="520" w:lineRule="atLeast"/>
        <w:jc w:val="both"/>
        <w:rPr>
          <w:rFonts w:ascii="Garamond" w:eastAsia="Times New Roman" w:hAnsi="Garamond" w:cs="Times New Roman"/>
          <w:color w:val="000000"/>
          <w:sz w:val="30"/>
          <w:szCs w:val="30"/>
          <w:lang w:eastAsia="it-IT"/>
        </w:rPr>
      </w:pPr>
      <w:r w:rsidRPr="00977055">
        <w:rPr>
          <w:rFonts w:ascii="Garamond" w:eastAsia="Times New Roman" w:hAnsi="Garamond" w:cs="Times New Roman"/>
          <w:color w:val="000000"/>
          <w:sz w:val="30"/>
          <w:szCs w:val="30"/>
          <w:lang w:eastAsia="it-IT"/>
        </w:rPr>
        <w:t>Nella materia </w:t>
      </w:r>
      <w:r w:rsidRPr="00977055">
        <w:rPr>
          <w:rFonts w:ascii="Garamond" w:eastAsia="Times New Roman" w:hAnsi="Garamond" w:cs="Times New Roman"/>
          <w:i/>
          <w:iCs/>
          <w:color w:val="000000"/>
          <w:sz w:val="30"/>
          <w:szCs w:val="30"/>
          <w:lang w:eastAsia="it-IT"/>
        </w:rPr>
        <w:t>de qua</w:t>
      </w:r>
      <w:r w:rsidRPr="00977055">
        <w:rPr>
          <w:rFonts w:ascii="Garamond" w:eastAsia="Times New Roman" w:hAnsi="Garamond" w:cs="Times New Roman"/>
          <w:color w:val="000000"/>
          <w:sz w:val="30"/>
          <w:szCs w:val="30"/>
          <w:lang w:eastAsia="it-IT"/>
        </w:rPr>
        <w:t>, i parametri di valutazione dei progetti non sono elaborati dalle Commissioni di volta in volta nominate, ma sono fissati direttamente negli avvisi pubblicati ai sensi dell’art. 128 della L. r. n. 11/2010 e sono identici a quelli già previsti nei precedenti avvisi relativi agli anni 2013, 2014 e 2015 e 2017, in base ai quali era stato raggiunto il punteggio utile all’erogazione, tenendo in considerazione la circostanza che anche l’attività svolta dall’A.N.M.I.C. negli anni predetti è rimasta identica così come la documentazione presentata per l’erogazione del contributo </w:t>
      </w:r>
      <w:r w:rsidRPr="00977055">
        <w:rPr>
          <w:rFonts w:ascii="Garamond" w:eastAsia="Times New Roman" w:hAnsi="Garamond" w:cs="Times New Roman"/>
          <w:i/>
          <w:iCs/>
          <w:color w:val="000000"/>
          <w:sz w:val="30"/>
          <w:szCs w:val="30"/>
          <w:lang w:eastAsia="it-IT"/>
        </w:rPr>
        <w:t>ex</w:t>
      </w:r>
      <w:r w:rsidRPr="00977055">
        <w:rPr>
          <w:rFonts w:ascii="Garamond" w:eastAsia="Times New Roman" w:hAnsi="Garamond" w:cs="Times New Roman"/>
          <w:color w:val="000000"/>
          <w:sz w:val="30"/>
          <w:szCs w:val="30"/>
          <w:lang w:eastAsia="it-IT"/>
        </w:rPr>
        <w:t> art. 128 della L. r. n. 11/2010;</w:t>
      </w:r>
    </w:p>
    <w:p w14:paraId="61B4FB27" w14:textId="77777777" w:rsidR="00977055" w:rsidRPr="00977055" w:rsidRDefault="00977055" w:rsidP="00977055">
      <w:pPr>
        <w:spacing w:after="0" w:line="520" w:lineRule="atLeast"/>
        <w:jc w:val="both"/>
        <w:rPr>
          <w:rFonts w:ascii="Garamond" w:eastAsia="Times New Roman" w:hAnsi="Garamond" w:cs="Times New Roman"/>
          <w:color w:val="000000"/>
          <w:sz w:val="30"/>
          <w:szCs w:val="30"/>
          <w:lang w:eastAsia="it-IT"/>
        </w:rPr>
      </w:pPr>
      <w:r w:rsidRPr="00977055">
        <w:rPr>
          <w:rFonts w:ascii="Garamond" w:eastAsia="Times New Roman" w:hAnsi="Garamond" w:cs="Times New Roman"/>
          <w:color w:val="000000"/>
          <w:sz w:val="30"/>
          <w:szCs w:val="30"/>
          <w:lang w:eastAsia="it-IT"/>
        </w:rPr>
        <w:t>“III. </w:t>
      </w:r>
      <w:r w:rsidRPr="00977055">
        <w:rPr>
          <w:rFonts w:ascii="Garamond" w:eastAsia="Times New Roman" w:hAnsi="Garamond" w:cs="Times New Roman"/>
          <w:i/>
          <w:iCs/>
          <w:color w:val="000000"/>
          <w:sz w:val="30"/>
          <w:szCs w:val="30"/>
          <w:lang w:eastAsia="it-IT"/>
        </w:rPr>
        <w:t>Illegittimità per illegittimità derivata” per gli stessi motivi già sviluppati con il ricorso introduttivo</w:t>
      </w:r>
      <w:r w:rsidRPr="00977055">
        <w:rPr>
          <w:rFonts w:ascii="Garamond" w:eastAsia="Times New Roman" w:hAnsi="Garamond" w:cs="Times New Roman"/>
          <w:color w:val="000000"/>
          <w:sz w:val="30"/>
          <w:szCs w:val="30"/>
          <w:lang w:eastAsia="it-IT"/>
        </w:rPr>
        <w:t>”;</w:t>
      </w:r>
    </w:p>
    <w:p w14:paraId="7713E01B" w14:textId="77777777" w:rsidR="00977055" w:rsidRPr="00977055" w:rsidRDefault="00977055" w:rsidP="00977055">
      <w:pPr>
        <w:spacing w:after="0" w:line="520" w:lineRule="atLeast"/>
        <w:jc w:val="both"/>
        <w:rPr>
          <w:rFonts w:ascii="Garamond" w:eastAsia="Times New Roman" w:hAnsi="Garamond" w:cs="Times New Roman"/>
          <w:color w:val="000000"/>
          <w:sz w:val="30"/>
          <w:szCs w:val="30"/>
          <w:lang w:eastAsia="it-IT"/>
        </w:rPr>
      </w:pPr>
      <w:r w:rsidRPr="00977055">
        <w:rPr>
          <w:rFonts w:ascii="Garamond" w:eastAsia="Times New Roman" w:hAnsi="Garamond" w:cs="Times New Roman"/>
          <w:color w:val="000000"/>
          <w:sz w:val="30"/>
          <w:szCs w:val="30"/>
          <w:lang w:eastAsia="it-IT"/>
        </w:rPr>
        <w:t>CONSIDERATO che in relazione al ricorso per motivi aggiunti, da decidersi, parte ricorrente è stata onerata dell’integrazione del contraddittorio; sono stati altresì ordinati documentati chiarimenti, mediante la redazione di apposita relazione, all’Amministrazione resistente;</w:t>
      </w:r>
    </w:p>
    <w:p w14:paraId="50895CF3" w14:textId="77777777" w:rsidR="00977055" w:rsidRPr="00977055" w:rsidRDefault="00977055" w:rsidP="00977055">
      <w:pPr>
        <w:spacing w:after="0" w:line="520" w:lineRule="atLeast"/>
        <w:jc w:val="both"/>
        <w:rPr>
          <w:rFonts w:ascii="Garamond" w:eastAsia="Times New Roman" w:hAnsi="Garamond" w:cs="Times New Roman"/>
          <w:color w:val="000000"/>
          <w:sz w:val="30"/>
          <w:szCs w:val="30"/>
          <w:lang w:eastAsia="it-IT"/>
        </w:rPr>
      </w:pPr>
      <w:r w:rsidRPr="00977055">
        <w:rPr>
          <w:rFonts w:ascii="Garamond" w:eastAsia="Times New Roman" w:hAnsi="Garamond" w:cs="Times New Roman"/>
          <w:color w:val="000000"/>
          <w:sz w:val="30"/>
          <w:szCs w:val="30"/>
          <w:lang w:eastAsia="it-IT"/>
        </w:rPr>
        <w:t>CONSIDERATO che parte ricorrente ha integrato il contraddittorio e depositato nei termini fissati la relativa prova documentale;</w:t>
      </w:r>
    </w:p>
    <w:p w14:paraId="40BFBAE8" w14:textId="77777777" w:rsidR="00977055" w:rsidRPr="00977055" w:rsidRDefault="00977055" w:rsidP="00977055">
      <w:pPr>
        <w:spacing w:after="0" w:line="520" w:lineRule="atLeast"/>
        <w:jc w:val="both"/>
        <w:rPr>
          <w:rFonts w:ascii="Garamond" w:eastAsia="Times New Roman" w:hAnsi="Garamond" w:cs="Times New Roman"/>
          <w:color w:val="000000"/>
          <w:sz w:val="30"/>
          <w:szCs w:val="30"/>
          <w:lang w:eastAsia="it-IT"/>
        </w:rPr>
      </w:pPr>
      <w:r w:rsidRPr="00977055">
        <w:rPr>
          <w:rFonts w:ascii="Garamond" w:eastAsia="Times New Roman" w:hAnsi="Garamond" w:cs="Times New Roman"/>
          <w:color w:val="000000"/>
          <w:sz w:val="30"/>
          <w:szCs w:val="30"/>
          <w:lang w:eastAsia="it-IT"/>
        </w:rPr>
        <w:t>CONSIDERATO che l’Amministrazione resistente ha depositato il 30 marzo 2021 i documentati chiarimenti richiesti,</w:t>
      </w:r>
    </w:p>
    <w:p w14:paraId="16722DF3" w14:textId="77777777" w:rsidR="00977055" w:rsidRPr="00977055" w:rsidRDefault="00977055" w:rsidP="00977055">
      <w:pPr>
        <w:spacing w:after="0" w:line="520" w:lineRule="atLeast"/>
        <w:jc w:val="both"/>
        <w:rPr>
          <w:rFonts w:ascii="Garamond" w:eastAsia="Times New Roman" w:hAnsi="Garamond" w:cs="Times New Roman"/>
          <w:color w:val="000000"/>
          <w:sz w:val="30"/>
          <w:szCs w:val="30"/>
          <w:lang w:eastAsia="it-IT"/>
        </w:rPr>
      </w:pPr>
      <w:r w:rsidRPr="00977055">
        <w:rPr>
          <w:rFonts w:ascii="Garamond" w:eastAsia="Times New Roman" w:hAnsi="Garamond" w:cs="Times New Roman"/>
          <w:color w:val="000000"/>
          <w:sz w:val="30"/>
          <w:szCs w:val="30"/>
          <w:lang w:eastAsia="it-IT"/>
        </w:rPr>
        <w:t>CONSIDERATO che:</w:t>
      </w:r>
    </w:p>
    <w:p w14:paraId="35598AAF" w14:textId="77777777" w:rsidR="00977055" w:rsidRPr="00977055" w:rsidRDefault="00977055" w:rsidP="00977055">
      <w:pPr>
        <w:spacing w:after="0" w:line="520" w:lineRule="atLeast"/>
        <w:jc w:val="both"/>
        <w:rPr>
          <w:rFonts w:ascii="Garamond" w:eastAsia="Times New Roman" w:hAnsi="Garamond" w:cs="Times New Roman"/>
          <w:color w:val="000000"/>
          <w:sz w:val="30"/>
          <w:szCs w:val="30"/>
          <w:lang w:eastAsia="it-IT"/>
        </w:rPr>
      </w:pPr>
      <w:r w:rsidRPr="00977055">
        <w:rPr>
          <w:rFonts w:ascii="Garamond" w:eastAsia="Times New Roman" w:hAnsi="Garamond" w:cs="Times New Roman"/>
          <w:color w:val="000000"/>
          <w:sz w:val="30"/>
          <w:szCs w:val="30"/>
          <w:lang w:eastAsia="it-IT"/>
        </w:rPr>
        <w:lastRenderedPageBreak/>
        <w:t>- nessun ente potenzialmente controinteressato si è costituito in giudizio;</w:t>
      </w:r>
    </w:p>
    <w:p w14:paraId="472A3962" w14:textId="77777777" w:rsidR="00977055" w:rsidRPr="00977055" w:rsidRDefault="00977055" w:rsidP="00977055">
      <w:pPr>
        <w:spacing w:after="0" w:line="520" w:lineRule="atLeast"/>
        <w:jc w:val="both"/>
        <w:rPr>
          <w:rFonts w:ascii="Garamond" w:eastAsia="Times New Roman" w:hAnsi="Garamond" w:cs="Times New Roman"/>
          <w:color w:val="000000"/>
          <w:sz w:val="30"/>
          <w:szCs w:val="30"/>
          <w:lang w:eastAsia="it-IT"/>
        </w:rPr>
      </w:pPr>
      <w:r w:rsidRPr="00977055">
        <w:rPr>
          <w:rFonts w:ascii="Garamond" w:eastAsia="Times New Roman" w:hAnsi="Garamond" w:cs="Times New Roman"/>
          <w:color w:val="000000"/>
          <w:sz w:val="30"/>
          <w:szCs w:val="30"/>
          <w:lang w:eastAsia="it-IT"/>
        </w:rPr>
        <w:t>- entrambe le parti hanno depositato memorie difensive in vista della trattazione nel merito, insistendo nelle difese articolate;</w:t>
      </w:r>
    </w:p>
    <w:p w14:paraId="39E84E53" w14:textId="77777777" w:rsidR="00977055" w:rsidRPr="00977055" w:rsidRDefault="00977055" w:rsidP="00977055">
      <w:pPr>
        <w:spacing w:after="0" w:line="520" w:lineRule="atLeast"/>
        <w:jc w:val="both"/>
        <w:rPr>
          <w:rFonts w:ascii="Garamond" w:eastAsia="Times New Roman" w:hAnsi="Garamond" w:cs="Times New Roman"/>
          <w:color w:val="000000"/>
          <w:sz w:val="30"/>
          <w:szCs w:val="30"/>
          <w:lang w:eastAsia="it-IT"/>
        </w:rPr>
      </w:pPr>
      <w:r w:rsidRPr="00977055">
        <w:rPr>
          <w:rFonts w:ascii="Garamond" w:eastAsia="Times New Roman" w:hAnsi="Garamond" w:cs="Times New Roman"/>
          <w:color w:val="000000"/>
          <w:sz w:val="30"/>
          <w:szCs w:val="30"/>
          <w:lang w:eastAsia="it-IT"/>
        </w:rPr>
        <w:t>- all’udienza pubblica di trattazione nel merito del 7 ottobre 2021, il ricorso per motivi aggiunti è stato posto in decisione;</w:t>
      </w:r>
    </w:p>
    <w:p w14:paraId="2011AB4F" w14:textId="77777777" w:rsidR="00977055" w:rsidRPr="00977055" w:rsidRDefault="00977055" w:rsidP="00977055">
      <w:pPr>
        <w:spacing w:after="0" w:line="520" w:lineRule="atLeast"/>
        <w:jc w:val="both"/>
        <w:rPr>
          <w:rFonts w:ascii="Garamond" w:eastAsia="Times New Roman" w:hAnsi="Garamond" w:cs="Times New Roman"/>
          <w:color w:val="000000"/>
          <w:sz w:val="30"/>
          <w:szCs w:val="30"/>
          <w:lang w:eastAsia="it-IT"/>
        </w:rPr>
      </w:pPr>
      <w:r w:rsidRPr="00977055">
        <w:rPr>
          <w:rFonts w:ascii="Garamond" w:eastAsia="Times New Roman" w:hAnsi="Garamond" w:cs="Times New Roman"/>
          <w:color w:val="000000"/>
          <w:sz w:val="30"/>
          <w:szCs w:val="30"/>
          <w:lang w:eastAsia="it-IT"/>
        </w:rPr>
        <w:t>RITENUTO che il primo motivo aggiunto è, in parte, fondato.</w:t>
      </w:r>
    </w:p>
    <w:p w14:paraId="60E5B16A" w14:textId="77777777" w:rsidR="00977055" w:rsidRPr="00977055" w:rsidRDefault="00977055" w:rsidP="00977055">
      <w:pPr>
        <w:spacing w:after="0" w:line="520" w:lineRule="atLeast"/>
        <w:jc w:val="both"/>
        <w:rPr>
          <w:rFonts w:ascii="Garamond" w:eastAsia="Times New Roman" w:hAnsi="Garamond" w:cs="Times New Roman"/>
          <w:color w:val="000000"/>
          <w:sz w:val="30"/>
          <w:szCs w:val="30"/>
          <w:lang w:eastAsia="it-IT"/>
        </w:rPr>
      </w:pPr>
      <w:proofErr w:type="gramStart"/>
      <w:r w:rsidRPr="00977055">
        <w:rPr>
          <w:rFonts w:ascii="Garamond" w:eastAsia="Times New Roman" w:hAnsi="Garamond" w:cs="Times New Roman"/>
          <w:color w:val="000000"/>
          <w:sz w:val="30"/>
          <w:szCs w:val="30"/>
          <w:lang w:eastAsia="it-IT"/>
        </w:rPr>
        <w:t>E’</w:t>
      </w:r>
      <w:proofErr w:type="gramEnd"/>
      <w:r w:rsidRPr="00977055">
        <w:rPr>
          <w:rFonts w:ascii="Garamond" w:eastAsia="Times New Roman" w:hAnsi="Garamond" w:cs="Times New Roman"/>
          <w:color w:val="000000"/>
          <w:sz w:val="30"/>
          <w:szCs w:val="30"/>
          <w:lang w:eastAsia="it-IT"/>
        </w:rPr>
        <w:t xml:space="preserve"> noto che nei procedimenti di natura concorsuale, quali i procedimenti di aggiudicazione di contratti pubblici o di concorso pubblico, la Commissione giudicatrice è organo collegiale perfetto, dovendo operare a pena di illegittimità alla presenza del </w:t>
      </w:r>
      <w:r w:rsidRPr="00977055">
        <w:rPr>
          <w:rFonts w:ascii="Garamond" w:eastAsia="Times New Roman" w:hAnsi="Garamond" w:cs="Times New Roman"/>
          <w:i/>
          <w:iCs/>
          <w:color w:val="000000"/>
          <w:sz w:val="30"/>
          <w:szCs w:val="30"/>
          <w:lang w:eastAsia="it-IT"/>
        </w:rPr>
        <w:t>plenum</w:t>
      </w:r>
      <w:r w:rsidRPr="00977055">
        <w:rPr>
          <w:rFonts w:ascii="Garamond" w:eastAsia="Times New Roman" w:hAnsi="Garamond" w:cs="Times New Roman"/>
          <w:color w:val="000000"/>
          <w:sz w:val="30"/>
          <w:szCs w:val="30"/>
          <w:lang w:eastAsia="it-IT"/>
        </w:rPr>
        <w:t> dei componenti, fatta eccezione per le sola attività meramente preparatoria e istruttoria (</w:t>
      </w:r>
      <w:r w:rsidRPr="00977055">
        <w:rPr>
          <w:rFonts w:ascii="Garamond" w:eastAsia="Times New Roman" w:hAnsi="Garamond" w:cs="Times New Roman"/>
          <w:i/>
          <w:iCs/>
          <w:color w:val="000000"/>
          <w:sz w:val="30"/>
          <w:szCs w:val="30"/>
          <w:lang w:eastAsia="it-IT"/>
        </w:rPr>
        <w:t xml:space="preserve">ex </w:t>
      </w:r>
      <w:proofErr w:type="spellStart"/>
      <w:r w:rsidRPr="00977055">
        <w:rPr>
          <w:rFonts w:ascii="Garamond" w:eastAsia="Times New Roman" w:hAnsi="Garamond" w:cs="Times New Roman"/>
          <w:i/>
          <w:iCs/>
          <w:color w:val="000000"/>
          <w:sz w:val="30"/>
          <w:szCs w:val="30"/>
          <w:lang w:eastAsia="it-IT"/>
        </w:rPr>
        <w:t>plurimis</w:t>
      </w:r>
      <w:proofErr w:type="spellEnd"/>
      <w:r w:rsidRPr="00977055">
        <w:rPr>
          <w:rFonts w:ascii="Garamond" w:eastAsia="Times New Roman" w:hAnsi="Garamond" w:cs="Times New Roman"/>
          <w:color w:val="000000"/>
          <w:sz w:val="30"/>
          <w:szCs w:val="30"/>
          <w:lang w:eastAsia="it-IT"/>
        </w:rPr>
        <w:t> Consiglio di Stato, sez. IV, 12 novembre 2015, n. 5137; T.A.R. Sardegna, sez. I, 26 giugno 2015, n. 885).</w:t>
      </w:r>
    </w:p>
    <w:p w14:paraId="66D426CB" w14:textId="77777777" w:rsidR="00977055" w:rsidRPr="00977055" w:rsidRDefault="00977055" w:rsidP="00977055">
      <w:pPr>
        <w:spacing w:after="0" w:line="520" w:lineRule="atLeast"/>
        <w:jc w:val="both"/>
        <w:rPr>
          <w:rFonts w:ascii="Garamond" w:eastAsia="Times New Roman" w:hAnsi="Garamond" w:cs="Times New Roman"/>
          <w:color w:val="000000"/>
          <w:sz w:val="30"/>
          <w:szCs w:val="30"/>
          <w:lang w:eastAsia="it-IT"/>
        </w:rPr>
      </w:pPr>
      <w:r w:rsidRPr="00977055">
        <w:rPr>
          <w:rFonts w:ascii="Garamond" w:eastAsia="Times New Roman" w:hAnsi="Garamond" w:cs="Times New Roman"/>
          <w:color w:val="000000"/>
          <w:sz w:val="30"/>
          <w:szCs w:val="30"/>
          <w:lang w:eastAsia="it-IT"/>
        </w:rPr>
        <w:t>Diversamente da quanto sostenuto dalla difesa erariale, anche nei procedimenti, parimenti concorsuali, di concessione di contributi pubblici caratterizzati dalla formazione di una graduatoria tra i richiedenti e dalla limitatezza delle risorse disponibili, la commissione giudicatrice chiamata a valutare le domande costituisce un organo collegiale perfetto (</w:t>
      </w:r>
      <w:r w:rsidRPr="00977055">
        <w:rPr>
          <w:rFonts w:ascii="Garamond" w:eastAsia="Times New Roman" w:hAnsi="Garamond" w:cs="Times New Roman"/>
          <w:i/>
          <w:iCs/>
          <w:color w:val="000000"/>
          <w:sz w:val="30"/>
          <w:szCs w:val="30"/>
          <w:lang w:eastAsia="it-IT"/>
        </w:rPr>
        <w:t xml:space="preserve">ex </w:t>
      </w:r>
      <w:proofErr w:type="spellStart"/>
      <w:r w:rsidRPr="00977055">
        <w:rPr>
          <w:rFonts w:ascii="Garamond" w:eastAsia="Times New Roman" w:hAnsi="Garamond" w:cs="Times New Roman"/>
          <w:i/>
          <w:iCs/>
          <w:color w:val="000000"/>
          <w:sz w:val="30"/>
          <w:szCs w:val="30"/>
          <w:lang w:eastAsia="it-IT"/>
        </w:rPr>
        <w:t>multis</w:t>
      </w:r>
      <w:proofErr w:type="spellEnd"/>
      <w:r w:rsidRPr="00977055">
        <w:rPr>
          <w:rFonts w:ascii="Garamond" w:eastAsia="Times New Roman" w:hAnsi="Garamond" w:cs="Times New Roman"/>
          <w:color w:val="000000"/>
          <w:sz w:val="30"/>
          <w:szCs w:val="30"/>
          <w:lang w:eastAsia="it-IT"/>
        </w:rPr>
        <w:t> Consiglio di Stato, sez. IV, 14 maggio 2014, n. 2500).</w:t>
      </w:r>
    </w:p>
    <w:p w14:paraId="73E11A2D" w14:textId="77777777" w:rsidR="00977055" w:rsidRPr="00977055" w:rsidRDefault="00977055" w:rsidP="00977055">
      <w:pPr>
        <w:spacing w:after="0" w:line="520" w:lineRule="atLeast"/>
        <w:jc w:val="both"/>
        <w:rPr>
          <w:rFonts w:ascii="Garamond" w:eastAsia="Times New Roman" w:hAnsi="Garamond" w:cs="Times New Roman"/>
          <w:color w:val="000000"/>
          <w:sz w:val="30"/>
          <w:szCs w:val="30"/>
          <w:lang w:eastAsia="it-IT"/>
        </w:rPr>
      </w:pPr>
      <w:r w:rsidRPr="00977055">
        <w:rPr>
          <w:rFonts w:ascii="Garamond" w:eastAsia="Times New Roman" w:hAnsi="Garamond" w:cs="Times New Roman"/>
          <w:color w:val="000000"/>
          <w:sz w:val="30"/>
          <w:szCs w:val="30"/>
          <w:lang w:eastAsia="it-IT"/>
        </w:rPr>
        <w:t xml:space="preserve">Sotto tale </w:t>
      </w:r>
      <w:proofErr w:type="gramStart"/>
      <w:r w:rsidRPr="00977055">
        <w:rPr>
          <w:rFonts w:ascii="Garamond" w:eastAsia="Times New Roman" w:hAnsi="Garamond" w:cs="Times New Roman"/>
          <w:color w:val="000000"/>
          <w:sz w:val="30"/>
          <w:szCs w:val="30"/>
          <w:lang w:eastAsia="it-IT"/>
        </w:rPr>
        <w:t>profilo pertanto</w:t>
      </w:r>
      <w:proofErr w:type="gramEnd"/>
      <w:r w:rsidRPr="00977055">
        <w:rPr>
          <w:rFonts w:ascii="Garamond" w:eastAsia="Times New Roman" w:hAnsi="Garamond" w:cs="Times New Roman"/>
          <w:color w:val="000000"/>
          <w:sz w:val="30"/>
          <w:szCs w:val="30"/>
          <w:lang w:eastAsia="it-IT"/>
        </w:rPr>
        <w:t xml:space="preserve"> la doglianza è fondata.</w:t>
      </w:r>
    </w:p>
    <w:p w14:paraId="1DB627C9" w14:textId="77777777" w:rsidR="00977055" w:rsidRPr="00977055" w:rsidRDefault="00977055" w:rsidP="00977055">
      <w:pPr>
        <w:spacing w:after="0" w:line="520" w:lineRule="atLeast"/>
        <w:jc w:val="both"/>
        <w:rPr>
          <w:rFonts w:ascii="Garamond" w:eastAsia="Times New Roman" w:hAnsi="Garamond" w:cs="Times New Roman"/>
          <w:color w:val="000000"/>
          <w:sz w:val="30"/>
          <w:szCs w:val="30"/>
          <w:lang w:eastAsia="it-IT"/>
        </w:rPr>
      </w:pPr>
      <w:r w:rsidRPr="00977055">
        <w:rPr>
          <w:rFonts w:ascii="Garamond" w:eastAsia="Times New Roman" w:hAnsi="Garamond" w:cs="Times New Roman"/>
          <w:color w:val="000000"/>
          <w:sz w:val="30"/>
          <w:szCs w:val="30"/>
          <w:lang w:eastAsia="it-IT"/>
        </w:rPr>
        <w:t>Infondato, invece, è l’ulteriore profilo dedotto della violazione del principio secondo il quale il numero dei componenti deve essere dispari a tutela del principio maggioritario, atteso che nel verbale di insediamento n. 1 del 7 novembre 2018, la commissione ha stabilito che in caso di parità il voto del presidente avrebbe avuto valore doppio.</w:t>
      </w:r>
    </w:p>
    <w:p w14:paraId="7021122C" w14:textId="77777777" w:rsidR="00977055" w:rsidRPr="00977055" w:rsidRDefault="00977055" w:rsidP="00977055">
      <w:pPr>
        <w:spacing w:after="0" w:line="520" w:lineRule="atLeast"/>
        <w:jc w:val="both"/>
        <w:rPr>
          <w:rFonts w:ascii="Garamond" w:eastAsia="Times New Roman" w:hAnsi="Garamond" w:cs="Times New Roman"/>
          <w:color w:val="000000"/>
          <w:sz w:val="30"/>
          <w:szCs w:val="30"/>
          <w:lang w:eastAsia="it-IT"/>
        </w:rPr>
      </w:pPr>
      <w:r w:rsidRPr="00977055">
        <w:rPr>
          <w:rFonts w:ascii="Garamond" w:eastAsia="Times New Roman" w:hAnsi="Garamond" w:cs="Times New Roman"/>
          <w:color w:val="000000"/>
          <w:sz w:val="30"/>
          <w:szCs w:val="30"/>
          <w:lang w:eastAsia="it-IT"/>
        </w:rPr>
        <w:t xml:space="preserve">Il secondo motivo è fondato, alla luce dei chiarimenti resi dall’Amministrazione, secondo cui i criteri di valutazione indicati negli Avvisi degli anni 2013, 2014, 2015 e 2017, ai sensi dell'articolo 128 della legge regionale n. 11/2010 e </w:t>
      </w:r>
      <w:proofErr w:type="spellStart"/>
      <w:r w:rsidRPr="00977055">
        <w:rPr>
          <w:rFonts w:ascii="Garamond" w:eastAsia="Times New Roman" w:hAnsi="Garamond" w:cs="Times New Roman"/>
          <w:color w:val="000000"/>
          <w:sz w:val="30"/>
          <w:szCs w:val="30"/>
          <w:lang w:eastAsia="it-IT"/>
        </w:rPr>
        <w:t>ss.mm.ii</w:t>
      </w:r>
      <w:proofErr w:type="spellEnd"/>
      <w:r w:rsidRPr="00977055">
        <w:rPr>
          <w:rFonts w:ascii="Garamond" w:eastAsia="Times New Roman" w:hAnsi="Garamond" w:cs="Times New Roman"/>
          <w:color w:val="000000"/>
          <w:sz w:val="30"/>
          <w:szCs w:val="30"/>
          <w:lang w:eastAsia="it-IT"/>
        </w:rPr>
        <w:t xml:space="preserve">., sono </w:t>
      </w:r>
      <w:r w:rsidRPr="00977055">
        <w:rPr>
          <w:rFonts w:ascii="Garamond" w:eastAsia="Times New Roman" w:hAnsi="Garamond" w:cs="Times New Roman"/>
          <w:color w:val="000000"/>
          <w:sz w:val="30"/>
          <w:szCs w:val="30"/>
          <w:lang w:eastAsia="it-IT"/>
        </w:rPr>
        <w:lastRenderedPageBreak/>
        <w:t>pressoché uguali a quelli contenuti nel D.S.G. n. 557 del 9 ottobre 2018 e che il progetto presentato dall'Associazione ricorrente, ai fini della partecipazione all'Avviso pubblico indetto per l'annualità 2018, risulta identico a quello presentato nei citati anni precedenti.</w:t>
      </w:r>
    </w:p>
    <w:p w14:paraId="3FC31F1D" w14:textId="77777777" w:rsidR="00977055" w:rsidRPr="00977055" w:rsidRDefault="00977055" w:rsidP="00977055">
      <w:pPr>
        <w:spacing w:after="0" w:line="520" w:lineRule="atLeast"/>
        <w:jc w:val="both"/>
        <w:rPr>
          <w:rFonts w:ascii="Garamond" w:eastAsia="Times New Roman" w:hAnsi="Garamond" w:cs="Times New Roman"/>
          <w:color w:val="000000"/>
          <w:sz w:val="30"/>
          <w:szCs w:val="30"/>
          <w:lang w:eastAsia="it-IT"/>
        </w:rPr>
      </w:pPr>
      <w:r w:rsidRPr="00977055">
        <w:rPr>
          <w:rFonts w:ascii="Garamond" w:eastAsia="Times New Roman" w:hAnsi="Garamond" w:cs="Times New Roman"/>
          <w:color w:val="000000"/>
          <w:sz w:val="30"/>
          <w:szCs w:val="30"/>
          <w:lang w:eastAsia="it-IT"/>
        </w:rPr>
        <w:t>Se a ciò si aggiunge che nella materia </w:t>
      </w:r>
      <w:r w:rsidRPr="00977055">
        <w:rPr>
          <w:rFonts w:ascii="Garamond" w:eastAsia="Times New Roman" w:hAnsi="Garamond" w:cs="Times New Roman"/>
          <w:i/>
          <w:iCs/>
          <w:color w:val="000000"/>
          <w:sz w:val="30"/>
          <w:szCs w:val="30"/>
          <w:lang w:eastAsia="it-IT"/>
        </w:rPr>
        <w:t>de qua</w:t>
      </w:r>
      <w:r w:rsidRPr="00977055">
        <w:rPr>
          <w:rFonts w:ascii="Garamond" w:eastAsia="Times New Roman" w:hAnsi="Garamond" w:cs="Times New Roman"/>
          <w:color w:val="000000"/>
          <w:sz w:val="30"/>
          <w:szCs w:val="30"/>
          <w:lang w:eastAsia="it-IT"/>
        </w:rPr>
        <w:t>, i parametri di valutazione dei progetti non sono elaborati dalle Commissioni di volta, in volta, nominate, ma sono fissati direttamente negli avvisi pubblicati ai sensi dell’art. 128 della L. r. n. 11/2010, il divario tra il punteggio impugnato di 60/100 e quello già attribuito per il triennio 2013-2015, pari n. 71 e per il 2017, pari n. 71,6, appare </w:t>
      </w:r>
      <w:proofErr w:type="spellStart"/>
      <w:r w:rsidRPr="00977055">
        <w:rPr>
          <w:rFonts w:ascii="Garamond" w:eastAsia="Times New Roman" w:hAnsi="Garamond" w:cs="Times New Roman"/>
          <w:i/>
          <w:iCs/>
          <w:color w:val="000000"/>
          <w:sz w:val="30"/>
          <w:szCs w:val="30"/>
          <w:lang w:eastAsia="it-IT"/>
        </w:rPr>
        <w:t>ictu</w:t>
      </w:r>
      <w:proofErr w:type="spellEnd"/>
      <w:r w:rsidRPr="00977055">
        <w:rPr>
          <w:rFonts w:ascii="Garamond" w:eastAsia="Times New Roman" w:hAnsi="Garamond" w:cs="Times New Roman"/>
          <w:i/>
          <w:iCs/>
          <w:color w:val="000000"/>
          <w:sz w:val="30"/>
          <w:szCs w:val="30"/>
          <w:lang w:eastAsia="it-IT"/>
        </w:rPr>
        <w:t xml:space="preserve"> oculi</w:t>
      </w:r>
      <w:r w:rsidRPr="00977055">
        <w:rPr>
          <w:rFonts w:ascii="Garamond" w:eastAsia="Times New Roman" w:hAnsi="Garamond" w:cs="Times New Roman"/>
          <w:color w:val="000000"/>
          <w:sz w:val="30"/>
          <w:szCs w:val="30"/>
          <w:lang w:eastAsia="it-IT"/>
        </w:rPr>
        <w:t> irragionevole.</w:t>
      </w:r>
    </w:p>
    <w:p w14:paraId="3B8D8290" w14:textId="77777777" w:rsidR="00977055" w:rsidRPr="00977055" w:rsidRDefault="00977055" w:rsidP="00977055">
      <w:pPr>
        <w:spacing w:after="0" w:line="520" w:lineRule="atLeast"/>
        <w:jc w:val="both"/>
        <w:rPr>
          <w:rFonts w:ascii="Garamond" w:eastAsia="Times New Roman" w:hAnsi="Garamond" w:cs="Times New Roman"/>
          <w:color w:val="000000"/>
          <w:sz w:val="30"/>
          <w:szCs w:val="30"/>
          <w:lang w:eastAsia="it-IT"/>
        </w:rPr>
      </w:pPr>
      <w:r w:rsidRPr="00977055">
        <w:rPr>
          <w:rFonts w:ascii="Garamond" w:eastAsia="Times New Roman" w:hAnsi="Garamond" w:cs="Times New Roman"/>
          <w:color w:val="000000"/>
          <w:sz w:val="30"/>
          <w:szCs w:val="30"/>
          <w:lang w:eastAsia="it-IT"/>
        </w:rPr>
        <w:t>Ne consegue che il punteggio attribuibile all’Associazione ricorrente avrebbe dovuto essere ricompreso tra n. 71 e n. 71,6, punti;</w:t>
      </w:r>
    </w:p>
    <w:p w14:paraId="3ED69EC9" w14:textId="77777777" w:rsidR="00977055" w:rsidRPr="00977055" w:rsidRDefault="00977055" w:rsidP="00977055">
      <w:pPr>
        <w:spacing w:after="0" w:line="520" w:lineRule="atLeast"/>
        <w:jc w:val="both"/>
        <w:rPr>
          <w:rFonts w:ascii="Garamond" w:eastAsia="Times New Roman" w:hAnsi="Garamond" w:cs="Times New Roman"/>
          <w:color w:val="000000"/>
          <w:sz w:val="30"/>
          <w:szCs w:val="30"/>
          <w:lang w:eastAsia="it-IT"/>
        </w:rPr>
      </w:pPr>
      <w:r w:rsidRPr="00977055">
        <w:rPr>
          <w:rFonts w:ascii="Garamond" w:eastAsia="Times New Roman" w:hAnsi="Garamond" w:cs="Times New Roman"/>
          <w:color w:val="000000"/>
          <w:sz w:val="30"/>
          <w:szCs w:val="30"/>
          <w:lang w:eastAsia="it-IT"/>
        </w:rPr>
        <w:t xml:space="preserve">RITENUTO che alla luce delle </w:t>
      </w:r>
      <w:proofErr w:type="gramStart"/>
      <w:r w:rsidRPr="00977055">
        <w:rPr>
          <w:rFonts w:ascii="Garamond" w:eastAsia="Times New Roman" w:hAnsi="Garamond" w:cs="Times New Roman"/>
          <w:color w:val="000000"/>
          <w:sz w:val="30"/>
          <w:szCs w:val="30"/>
          <w:lang w:eastAsia="it-IT"/>
        </w:rPr>
        <w:t>suesposte</w:t>
      </w:r>
      <w:proofErr w:type="gramEnd"/>
      <w:r w:rsidRPr="00977055">
        <w:rPr>
          <w:rFonts w:ascii="Garamond" w:eastAsia="Times New Roman" w:hAnsi="Garamond" w:cs="Times New Roman"/>
          <w:color w:val="000000"/>
          <w:sz w:val="30"/>
          <w:szCs w:val="30"/>
          <w:lang w:eastAsia="it-IT"/>
        </w:rPr>
        <w:t xml:space="preserve"> considerazioni il ricorso per motivi aggiunti è fondato e va accolto, con l’effetto dell’annullamento </w:t>
      </w:r>
      <w:r w:rsidRPr="00977055">
        <w:rPr>
          <w:rFonts w:ascii="Garamond" w:eastAsia="Times New Roman" w:hAnsi="Garamond" w:cs="Times New Roman"/>
          <w:i/>
          <w:iCs/>
          <w:color w:val="000000"/>
          <w:sz w:val="30"/>
          <w:szCs w:val="30"/>
          <w:lang w:eastAsia="it-IT"/>
        </w:rPr>
        <w:t>in parte qua</w:t>
      </w:r>
      <w:r w:rsidRPr="00977055">
        <w:rPr>
          <w:rFonts w:ascii="Garamond" w:eastAsia="Times New Roman" w:hAnsi="Garamond" w:cs="Times New Roman"/>
          <w:color w:val="000000"/>
          <w:sz w:val="30"/>
          <w:szCs w:val="30"/>
          <w:lang w:eastAsia="it-IT"/>
        </w:rPr>
        <w:t> della graduatoria e dei verbali della Commissione impugnati con i motivi aggiunti.</w:t>
      </w:r>
    </w:p>
    <w:p w14:paraId="4A966201" w14:textId="77777777" w:rsidR="00977055" w:rsidRPr="00977055" w:rsidRDefault="00977055" w:rsidP="00977055">
      <w:pPr>
        <w:spacing w:after="0" w:line="520" w:lineRule="atLeast"/>
        <w:jc w:val="both"/>
        <w:rPr>
          <w:rFonts w:ascii="Garamond" w:eastAsia="Times New Roman" w:hAnsi="Garamond" w:cs="Times New Roman"/>
          <w:color w:val="000000"/>
          <w:sz w:val="30"/>
          <w:szCs w:val="30"/>
          <w:lang w:eastAsia="it-IT"/>
        </w:rPr>
      </w:pPr>
      <w:r w:rsidRPr="00977055">
        <w:rPr>
          <w:rFonts w:ascii="Garamond" w:eastAsia="Times New Roman" w:hAnsi="Garamond" w:cs="Times New Roman"/>
          <w:color w:val="000000"/>
          <w:sz w:val="30"/>
          <w:szCs w:val="30"/>
          <w:lang w:eastAsia="it-IT"/>
        </w:rPr>
        <w:t>RITENUTO, infine, che sussistono giusti motivi per disporre la compensazione delle spese di lite in considerazione della complessità delle questioni trattate.</w:t>
      </w:r>
    </w:p>
    <w:p w14:paraId="063AAA2A" w14:textId="77777777" w:rsidR="00977055" w:rsidRPr="00977055" w:rsidRDefault="00977055" w:rsidP="00977055">
      <w:pPr>
        <w:spacing w:after="0" w:line="540" w:lineRule="atLeast"/>
        <w:jc w:val="center"/>
        <w:rPr>
          <w:rFonts w:ascii="Garamond" w:eastAsia="Times New Roman" w:hAnsi="Garamond" w:cs="Times New Roman"/>
          <w:color w:val="000000"/>
          <w:sz w:val="30"/>
          <w:szCs w:val="30"/>
          <w:lang w:eastAsia="it-IT"/>
        </w:rPr>
      </w:pPr>
      <w:r w:rsidRPr="00977055">
        <w:rPr>
          <w:rFonts w:ascii="Garamond" w:eastAsia="Times New Roman" w:hAnsi="Garamond" w:cs="Times New Roman"/>
          <w:color w:val="000000"/>
          <w:sz w:val="30"/>
          <w:szCs w:val="30"/>
          <w:lang w:eastAsia="it-IT"/>
        </w:rPr>
        <w:t>P.Q.M.</w:t>
      </w:r>
    </w:p>
    <w:p w14:paraId="139ED305" w14:textId="77777777" w:rsidR="00977055" w:rsidRPr="00977055" w:rsidRDefault="00977055" w:rsidP="00977055">
      <w:pPr>
        <w:spacing w:after="0" w:line="520" w:lineRule="atLeast"/>
        <w:jc w:val="both"/>
        <w:rPr>
          <w:rFonts w:ascii="Garamond" w:eastAsia="Times New Roman" w:hAnsi="Garamond" w:cs="Times New Roman"/>
          <w:color w:val="000000"/>
          <w:sz w:val="30"/>
          <w:szCs w:val="30"/>
          <w:lang w:eastAsia="it-IT"/>
        </w:rPr>
      </w:pPr>
      <w:r w:rsidRPr="00977055">
        <w:rPr>
          <w:rFonts w:ascii="Garamond" w:eastAsia="Times New Roman" w:hAnsi="Garamond" w:cs="Times New Roman"/>
          <w:color w:val="000000"/>
          <w:sz w:val="30"/>
          <w:szCs w:val="30"/>
          <w:lang w:eastAsia="it-IT"/>
        </w:rPr>
        <w:t>Il Tribunale Amministrativo Regionale per la Sicilia (Sezione Prima), definitivamente pronunciando sul ricorso, come in epigrafe proposto, accoglie i motivi aggiunti nei sensi di cui in motivazione e, per l’effetto, annulla </w:t>
      </w:r>
      <w:r w:rsidRPr="00977055">
        <w:rPr>
          <w:rFonts w:ascii="Garamond" w:eastAsia="Times New Roman" w:hAnsi="Garamond" w:cs="Times New Roman"/>
          <w:i/>
          <w:iCs/>
          <w:color w:val="000000"/>
          <w:sz w:val="30"/>
          <w:szCs w:val="30"/>
          <w:lang w:eastAsia="it-IT"/>
        </w:rPr>
        <w:t>in parte qua</w:t>
      </w:r>
      <w:r w:rsidRPr="00977055">
        <w:rPr>
          <w:rFonts w:ascii="Garamond" w:eastAsia="Times New Roman" w:hAnsi="Garamond" w:cs="Times New Roman"/>
          <w:color w:val="000000"/>
          <w:sz w:val="30"/>
          <w:szCs w:val="30"/>
          <w:lang w:eastAsia="it-IT"/>
        </w:rPr>
        <w:t> gli atti impugnati, salvi gli ulteriori provvedimenti dell’Amministrazione.</w:t>
      </w:r>
    </w:p>
    <w:p w14:paraId="4F121E6A" w14:textId="77777777" w:rsidR="00977055" w:rsidRPr="00977055" w:rsidRDefault="00977055" w:rsidP="00977055">
      <w:pPr>
        <w:spacing w:after="0" w:line="520" w:lineRule="atLeast"/>
        <w:jc w:val="both"/>
        <w:rPr>
          <w:rFonts w:ascii="Garamond" w:eastAsia="Times New Roman" w:hAnsi="Garamond" w:cs="Times New Roman"/>
          <w:color w:val="000000"/>
          <w:sz w:val="30"/>
          <w:szCs w:val="30"/>
          <w:lang w:eastAsia="it-IT"/>
        </w:rPr>
      </w:pPr>
      <w:r w:rsidRPr="00977055">
        <w:rPr>
          <w:rFonts w:ascii="Garamond" w:eastAsia="Times New Roman" w:hAnsi="Garamond" w:cs="Times New Roman"/>
          <w:color w:val="000000"/>
          <w:sz w:val="30"/>
          <w:szCs w:val="30"/>
          <w:lang w:eastAsia="it-IT"/>
        </w:rPr>
        <w:t>Ordina che la presente sentenza sia eseguita dall'autorità amministrativa.</w:t>
      </w:r>
    </w:p>
    <w:p w14:paraId="052599CF" w14:textId="77777777" w:rsidR="00977055" w:rsidRPr="00977055" w:rsidRDefault="00977055" w:rsidP="00977055">
      <w:pPr>
        <w:spacing w:after="0" w:line="520" w:lineRule="atLeast"/>
        <w:jc w:val="both"/>
        <w:rPr>
          <w:rFonts w:ascii="Garamond" w:eastAsia="Times New Roman" w:hAnsi="Garamond" w:cs="Times New Roman"/>
          <w:color w:val="000000"/>
          <w:sz w:val="30"/>
          <w:szCs w:val="30"/>
          <w:lang w:eastAsia="it-IT"/>
        </w:rPr>
      </w:pPr>
      <w:r w:rsidRPr="00977055">
        <w:rPr>
          <w:rFonts w:ascii="Garamond" w:eastAsia="Times New Roman" w:hAnsi="Garamond" w:cs="Times New Roman"/>
          <w:color w:val="000000"/>
          <w:sz w:val="30"/>
          <w:szCs w:val="30"/>
          <w:lang w:eastAsia="it-IT"/>
        </w:rPr>
        <w:t>Così deciso in Palermo nella camera di consiglio del giorno 7 ottobre 2021 con l'intervento dei magistrati:</w:t>
      </w:r>
    </w:p>
    <w:p w14:paraId="0E8A50C0" w14:textId="77777777" w:rsidR="00977055" w:rsidRPr="00977055" w:rsidRDefault="00977055" w:rsidP="00977055">
      <w:pPr>
        <w:spacing w:after="0" w:line="520" w:lineRule="atLeast"/>
        <w:ind w:firstLine="567"/>
        <w:rPr>
          <w:rFonts w:ascii="Garamond" w:eastAsia="Times New Roman" w:hAnsi="Garamond" w:cs="Times New Roman"/>
          <w:color w:val="000000"/>
          <w:sz w:val="30"/>
          <w:szCs w:val="30"/>
          <w:lang w:eastAsia="it-IT"/>
        </w:rPr>
      </w:pPr>
      <w:r w:rsidRPr="00977055">
        <w:rPr>
          <w:rFonts w:ascii="Garamond" w:eastAsia="Times New Roman" w:hAnsi="Garamond" w:cs="Times New Roman"/>
          <w:color w:val="000000"/>
          <w:sz w:val="30"/>
          <w:szCs w:val="30"/>
          <w:lang w:eastAsia="it-IT"/>
        </w:rPr>
        <w:t>Calogero Ferlisi, Presidente</w:t>
      </w:r>
    </w:p>
    <w:p w14:paraId="6B489237" w14:textId="77777777" w:rsidR="00977055" w:rsidRPr="00977055" w:rsidRDefault="00977055" w:rsidP="00977055">
      <w:pPr>
        <w:spacing w:after="0" w:line="520" w:lineRule="atLeast"/>
        <w:ind w:firstLine="567"/>
        <w:rPr>
          <w:rFonts w:ascii="Garamond" w:eastAsia="Times New Roman" w:hAnsi="Garamond" w:cs="Times New Roman"/>
          <w:color w:val="000000"/>
          <w:sz w:val="30"/>
          <w:szCs w:val="30"/>
          <w:lang w:eastAsia="it-IT"/>
        </w:rPr>
      </w:pPr>
      <w:r w:rsidRPr="00977055">
        <w:rPr>
          <w:rFonts w:ascii="Garamond" w:eastAsia="Times New Roman" w:hAnsi="Garamond" w:cs="Times New Roman"/>
          <w:color w:val="000000"/>
          <w:sz w:val="30"/>
          <w:szCs w:val="30"/>
          <w:lang w:eastAsia="it-IT"/>
        </w:rPr>
        <w:t>Anna Pignataro, Consigliere, Estensore</w:t>
      </w:r>
    </w:p>
    <w:p w14:paraId="5A1E3839" w14:textId="77777777" w:rsidR="00977055" w:rsidRPr="00977055" w:rsidRDefault="00977055" w:rsidP="00977055">
      <w:pPr>
        <w:spacing w:after="0" w:line="520" w:lineRule="atLeast"/>
        <w:ind w:firstLine="567"/>
        <w:rPr>
          <w:rFonts w:ascii="Garamond" w:eastAsia="Times New Roman" w:hAnsi="Garamond" w:cs="Times New Roman"/>
          <w:color w:val="000000"/>
          <w:sz w:val="30"/>
          <w:szCs w:val="30"/>
          <w:lang w:eastAsia="it-IT"/>
        </w:rPr>
      </w:pPr>
      <w:r w:rsidRPr="00977055">
        <w:rPr>
          <w:rFonts w:ascii="Garamond" w:eastAsia="Times New Roman" w:hAnsi="Garamond" w:cs="Times New Roman"/>
          <w:color w:val="000000"/>
          <w:sz w:val="30"/>
          <w:szCs w:val="30"/>
          <w:lang w:eastAsia="it-IT"/>
        </w:rPr>
        <w:t>Sebastiano Zafarana, Consigliere</w:t>
      </w:r>
    </w:p>
    <w:tbl>
      <w:tblPr>
        <w:tblW w:w="5000" w:type="pct"/>
        <w:tblCellMar>
          <w:top w:w="15" w:type="dxa"/>
          <w:left w:w="15" w:type="dxa"/>
          <w:bottom w:w="15" w:type="dxa"/>
          <w:right w:w="15" w:type="dxa"/>
        </w:tblCellMar>
        <w:tblLook w:val="04A0" w:firstRow="1" w:lastRow="0" w:firstColumn="1" w:lastColumn="0" w:noHBand="0" w:noVBand="1"/>
      </w:tblPr>
      <w:tblGrid>
        <w:gridCol w:w="4536"/>
        <w:gridCol w:w="83"/>
        <w:gridCol w:w="5019"/>
      </w:tblGrid>
      <w:tr w:rsidR="00977055" w:rsidRPr="00977055" w14:paraId="6A3D94F3" w14:textId="77777777" w:rsidTr="00977055">
        <w:tc>
          <w:tcPr>
            <w:tcW w:w="0" w:type="auto"/>
            <w:vAlign w:val="center"/>
            <w:hideMark/>
          </w:tcPr>
          <w:p w14:paraId="545FC071" w14:textId="77777777" w:rsidR="00977055" w:rsidRPr="00977055" w:rsidRDefault="00977055" w:rsidP="00977055">
            <w:pPr>
              <w:spacing w:after="0" w:line="240" w:lineRule="auto"/>
              <w:jc w:val="center"/>
              <w:rPr>
                <w:rFonts w:ascii="Times New Roman" w:eastAsia="Times New Roman" w:hAnsi="Times New Roman" w:cs="Times New Roman"/>
                <w:b/>
                <w:bCs/>
                <w:sz w:val="28"/>
                <w:szCs w:val="28"/>
                <w:lang w:eastAsia="it-IT"/>
              </w:rPr>
            </w:pPr>
            <w:r w:rsidRPr="00977055">
              <w:rPr>
                <w:rFonts w:ascii="Times New Roman" w:eastAsia="Times New Roman" w:hAnsi="Times New Roman" w:cs="Times New Roman"/>
                <w:b/>
                <w:bCs/>
                <w:sz w:val="28"/>
                <w:szCs w:val="28"/>
                <w:lang w:eastAsia="it-IT"/>
              </w:rPr>
              <w:lastRenderedPageBreak/>
              <w:t> </w:t>
            </w:r>
          </w:p>
        </w:tc>
        <w:tc>
          <w:tcPr>
            <w:tcW w:w="0" w:type="auto"/>
            <w:vAlign w:val="center"/>
            <w:hideMark/>
          </w:tcPr>
          <w:p w14:paraId="786691CE" w14:textId="77777777" w:rsidR="00977055" w:rsidRPr="00977055" w:rsidRDefault="00977055" w:rsidP="00977055">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11F4751D" w14:textId="77777777" w:rsidR="00977055" w:rsidRPr="00977055" w:rsidRDefault="00977055" w:rsidP="00977055">
            <w:pPr>
              <w:spacing w:after="0" w:line="240" w:lineRule="auto"/>
              <w:jc w:val="center"/>
              <w:rPr>
                <w:rFonts w:ascii="Times New Roman" w:eastAsia="Times New Roman" w:hAnsi="Times New Roman" w:cs="Times New Roman"/>
                <w:sz w:val="20"/>
                <w:szCs w:val="20"/>
                <w:lang w:eastAsia="it-IT"/>
              </w:rPr>
            </w:pPr>
          </w:p>
        </w:tc>
      </w:tr>
      <w:tr w:rsidR="00977055" w:rsidRPr="00977055" w14:paraId="48C9D043" w14:textId="77777777" w:rsidTr="00977055">
        <w:tc>
          <w:tcPr>
            <w:tcW w:w="0" w:type="auto"/>
            <w:vAlign w:val="center"/>
            <w:hideMark/>
          </w:tcPr>
          <w:p w14:paraId="5788300D" w14:textId="77777777" w:rsidR="00977055" w:rsidRPr="00977055" w:rsidRDefault="00977055" w:rsidP="00977055">
            <w:pPr>
              <w:spacing w:after="0" w:line="240" w:lineRule="auto"/>
              <w:jc w:val="center"/>
              <w:rPr>
                <w:rFonts w:ascii="Times New Roman" w:eastAsia="Times New Roman" w:hAnsi="Times New Roman" w:cs="Times New Roman"/>
                <w:b/>
                <w:bCs/>
                <w:sz w:val="28"/>
                <w:szCs w:val="28"/>
                <w:lang w:eastAsia="it-IT"/>
              </w:rPr>
            </w:pPr>
            <w:r w:rsidRPr="00977055">
              <w:rPr>
                <w:rFonts w:ascii="Times New Roman" w:eastAsia="Times New Roman" w:hAnsi="Times New Roman" w:cs="Times New Roman"/>
                <w:b/>
                <w:bCs/>
                <w:sz w:val="28"/>
                <w:szCs w:val="28"/>
                <w:lang w:eastAsia="it-IT"/>
              </w:rPr>
              <w:t> </w:t>
            </w:r>
          </w:p>
        </w:tc>
        <w:tc>
          <w:tcPr>
            <w:tcW w:w="0" w:type="auto"/>
            <w:vAlign w:val="center"/>
            <w:hideMark/>
          </w:tcPr>
          <w:p w14:paraId="1EA853A4" w14:textId="77777777" w:rsidR="00977055" w:rsidRPr="00977055" w:rsidRDefault="00977055" w:rsidP="00977055">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3A9D8A27" w14:textId="77777777" w:rsidR="00977055" w:rsidRPr="00977055" w:rsidRDefault="00977055" w:rsidP="00977055">
            <w:pPr>
              <w:spacing w:after="0" w:line="240" w:lineRule="auto"/>
              <w:jc w:val="center"/>
              <w:rPr>
                <w:rFonts w:ascii="Times New Roman" w:eastAsia="Times New Roman" w:hAnsi="Times New Roman" w:cs="Times New Roman"/>
                <w:sz w:val="20"/>
                <w:szCs w:val="20"/>
                <w:lang w:eastAsia="it-IT"/>
              </w:rPr>
            </w:pPr>
          </w:p>
        </w:tc>
      </w:tr>
      <w:tr w:rsidR="00977055" w:rsidRPr="00977055" w14:paraId="273D2D62" w14:textId="77777777" w:rsidTr="00977055">
        <w:tc>
          <w:tcPr>
            <w:tcW w:w="0" w:type="auto"/>
            <w:vAlign w:val="center"/>
            <w:hideMark/>
          </w:tcPr>
          <w:p w14:paraId="014768DE" w14:textId="77777777" w:rsidR="00977055" w:rsidRPr="00977055" w:rsidRDefault="00977055" w:rsidP="00977055">
            <w:pPr>
              <w:spacing w:after="0" w:line="240" w:lineRule="auto"/>
              <w:jc w:val="center"/>
              <w:rPr>
                <w:rFonts w:ascii="Times New Roman" w:eastAsia="Times New Roman" w:hAnsi="Times New Roman" w:cs="Times New Roman"/>
                <w:b/>
                <w:bCs/>
                <w:sz w:val="28"/>
                <w:szCs w:val="28"/>
                <w:lang w:eastAsia="it-IT"/>
              </w:rPr>
            </w:pPr>
            <w:r w:rsidRPr="00977055">
              <w:rPr>
                <w:rFonts w:ascii="Times New Roman" w:eastAsia="Times New Roman" w:hAnsi="Times New Roman" w:cs="Times New Roman"/>
                <w:b/>
                <w:bCs/>
                <w:sz w:val="28"/>
                <w:szCs w:val="28"/>
                <w:lang w:eastAsia="it-IT"/>
              </w:rPr>
              <w:t>L'ESTENSORE</w:t>
            </w:r>
          </w:p>
        </w:tc>
        <w:tc>
          <w:tcPr>
            <w:tcW w:w="0" w:type="auto"/>
            <w:vAlign w:val="center"/>
            <w:hideMark/>
          </w:tcPr>
          <w:p w14:paraId="2B8ECDEA" w14:textId="77777777" w:rsidR="00977055" w:rsidRPr="00977055" w:rsidRDefault="00977055" w:rsidP="00977055">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207E4581" w14:textId="77777777" w:rsidR="00977055" w:rsidRPr="00977055" w:rsidRDefault="00977055" w:rsidP="00977055">
            <w:pPr>
              <w:spacing w:after="0" w:line="240" w:lineRule="auto"/>
              <w:jc w:val="center"/>
              <w:rPr>
                <w:rFonts w:ascii="Times New Roman" w:eastAsia="Times New Roman" w:hAnsi="Times New Roman" w:cs="Times New Roman"/>
                <w:b/>
                <w:bCs/>
                <w:sz w:val="28"/>
                <w:szCs w:val="28"/>
                <w:lang w:eastAsia="it-IT"/>
              </w:rPr>
            </w:pPr>
            <w:r w:rsidRPr="00977055">
              <w:rPr>
                <w:rFonts w:ascii="Times New Roman" w:eastAsia="Times New Roman" w:hAnsi="Times New Roman" w:cs="Times New Roman"/>
                <w:b/>
                <w:bCs/>
                <w:sz w:val="28"/>
                <w:szCs w:val="28"/>
                <w:lang w:eastAsia="it-IT"/>
              </w:rPr>
              <w:t>IL PRESIDENTE</w:t>
            </w:r>
          </w:p>
        </w:tc>
      </w:tr>
      <w:tr w:rsidR="00977055" w:rsidRPr="00977055" w14:paraId="29DD5ABD" w14:textId="77777777" w:rsidTr="00977055">
        <w:tc>
          <w:tcPr>
            <w:tcW w:w="0" w:type="auto"/>
            <w:vAlign w:val="center"/>
            <w:hideMark/>
          </w:tcPr>
          <w:p w14:paraId="7102DDAE" w14:textId="77777777" w:rsidR="00977055" w:rsidRPr="00977055" w:rsidRDefault="00977055" w:rsidP="00977055">
            <w:pPr>
              <w:spacing w:after="0" w:line="240" w:lineRule="auto"/>
              <w:jc w:val="center"/>
              <w:rPr>
                <w:rFonts w:ascii="Times New Roman" w:eastAsia="Times New Roman" w:hAnsi="Times New Roman" w:cs="Times New Roman"/>
                <w:b/>
                <w:bCs/>
                <w:sz w:val="28"/>
                <w:szCs w:val="28"/>
                <w:lang w:eastAsia="it-IT"/>
              </w:rPr>
            </w:pPr>
            <w:r w:rsidRPr="00977055">
              <w:rPr>
                <w:rFonts w:ascii="Times New Roman" w:eastAsia="Times New Roman" w:hAnsi="Times New Roman" w:cs="Times New Roman"/>
                <w:b/>
                <w:bCs/>
                <w:sz w:val="28"/>
                <w:szCs w:val="28"/>
                <w:lang w:eastAsia="it-IT"/>
              </w:rPr>
              <w:t>Anna Pignataro</w:t>
            </w:r>
          </w:p>
        </w:tc>
        <w:tc>
          <w:tcPr>
            <w:tcW w:w="0" w:type="auto"/>
            <w:vAlign w:val="center"/>
            <w:hideMark/>
          </w:tcPr>
          <w:p w14:paraId="15FF52F0" w14:textId="77777777" w:rsidR="00977055" w:rsidRPr="00977055" w:rsidRDefault="00977055" w:rsidP="00977055">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7F1D80A6" w14:textId="77777777" w:rsidR="00977055" w:rsidRPr="00977055" w:rsidRDefault="00977055" w:rsidP="00977055">
            <w:pPr>
              <w:spacing w:after="0" w:line="240" w:lineRule="auto"/>
              <w:jc w:val="center"/>
              <w:rPr>
                <w:rFonts w:ascii="Times New Roman" w:eastAsia="Times New Roman" w:hAnsi="Times New Roman" w:cs="Times New Roman"/>
                <w:b/>
                <w:bCs/>
                <w:sz w:val="28"/>
                <w:szCs w:val="28"/>
                <w:lang w:eastAsia="it-IT"/>
              </w:rPr>
            </w:pPr>
            <w:r w:rsidRPr="00977055">
              <w:rPr>
                <w:rFonts w:ascii="Times New Roman" w:eastAsia="Times New Roman" w:hAnsi="Times New Roman" w:cs="Times New Roman"/>
                <w:b/>
                <w:bCs/>
                <w:sz w:val="28"/>
                <w:szCs w:val="28"/>
                <w:lang w:eastAsia="it-IT"/>
              </w:rPr>
              <w:t>Calogero Ferlisi</w:t>
            </w:r>
          </w:p>
        </w:tc>
      </w:tr>
      <w:tr w:rsidR="00977055" w:rsidRPr="00977055" w14:paraId="695C3FD2" w14:textId="77777777" w:rsidTr="00977055">
        <w:tc>
          <w:tcPr>
            <w:tcW w:w="0" w:type="auto"/>
            <w:vAlign w:val="center"/>
            <w:hideMark/>
          </w:tcPr>
          <w:p w14:paraId="2BEED702" w14:textId="77777777" w:rsidR="00977055" w:rsidRPr="00977055" w:rsidRDefault="00977055" w:rsidP="00977055">
            <w:pPr>
              <w:spacing w:after="0" w:line="240" w:lineRule="auto"/>
              <w:jc w:val="center"/>
              <w:rPr>
                <w:rFonts w:ascii="Times New Roman" w:eastAsia="Times New Roman" w:hAnsi="Times New Roman" w:cs="Times New Roman"/>
                <w:b/>
                <w:bCs/>
                <w:sz w:val="28"/>
                <w:szCs w:val="28"/>
                <w:lang w:eastAsia="it-IT"/>
              </w:rPr>
            </w:pPr>
            <w:r w:rsidRPr="00977055">
              <w:rPr>
                <w:rFonts w:ascii="Times New Roman" w:eastAsia="Times New Roman" w:hAnsi="Times New Roman" w:cs="Times New Roman"/>
                <w:b/>
                <w:bCs/>
                <w:sz w:val="28"/>
                <w:szCs w:val="28"/>
                <w:lang w:eastAsia="it-IT"/>
              </w:rPr>
              <w:t> </w:t>
            </w:r>
          </w:p>
        </w:tc>
        <w:tc>
          <w:tcPr>
            <w:tcW w:w="0" w:type="auto"/>
            <w:vAlign w:val="center"/>
            <w:hideMark/>
          </w:tcPr>
          <w:p w14:paraId="04BB331C" w14:textId="77777777" w:rsidR="00977055" w:rsidRPr="00977055" w:rsidRDefault="00977055" w:rsidP="00977055">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1CA4624F" w14:textId="77777777" w:rsidR="00977055" w:rsidRPr="00977055" w:rsidRDefault="00977055" w:rsidP="00977055">
            <w:pPr>
              <w:spacing w:after="0" w:line="240" w:lineRule="auto"/>
              <w:jc w:val="center"/>
              <w:rPr>
                <w:rFonts w:ascii="Times New Roman" w:eastAsia="Times New Roman" w:hAnsi="Times New Roman" w:cs="Times New Roman"/>
                <w:sz w:val="20"/>
                <w:szCs w:val="20"/>
                <w:lang w:eastAsia="it-IT"/>
              </w:rPr>
            </w:pPr>
          </w:p>
        </w:tc>
      </w:tr>
      <w:tr w:rsidR="00977055" w:rsidRPr="00977055" w14:paraId="19126199" w14:textId="77777777" w:rsidTr="00977055">
        <w:tc>
          <w:tcPr>
            <w:tcW w:w="0" w:type="auto"/>
            <w:vAlign w:val="center"/>
            <w:hideMark/>
          </w:tcPr>
          <w:p w14:paraId="1309544D" w14:textId="77777777" w:rsidR="00977055" w:rsidRPr="00977055" w:rsidRDefault="00977055" w:rsidP="00977055">
            <w:pPr>
              <w:spacing w:after="0" w:line="240" w:lineRule="auto"/>
              <w:jc w:val="center"/>
              <w:rPr>
                <w:rFonts w:ascii="Times New Roman" w:eastAsia="Times New Roman" w:hAnsi="Times New Roman" w:cs="Times New Roman"/>
                <w:b/>
                <w:bCs/>
                <w:sz w:val="28"/>
                <w:szCs w:val="28"/>
                <w:lang w:eastAsia="it-IT"/>
              </w:rPr>
            </w:pPr>
            <w:r w:rsidRPr="00977055">
              <w:rPr>
                <w:rFonts w:ascii="Times New Roman" w:eastAsia="Times New Roman" w:hAnsi="Times New Roman" w:cs="Times New Roman"/>
                <w:b/>
                <w:bCs/>
                <w:sz w:val="28"/>
                <w:szCs w:val="28"/>
                <w:lang w:eastAsia="it-IT"/>
              </w:rPr>
              <w:t> </w:t>
            </w:r>
          </w:p>
        </w:tc>
        <w:tc>
          <w:tcPr>
            <w:tcW w:w="0" w:type="auto"/>
            <w:vAlign w:val="center"/>
            <w:hideMark/>
          </w:tcPr>
          <w:p w14:paraId="67F3CEDC" w14:textId="77777777" w:rsidR="00977055" w:rsidRPr="00977055" w:rsidRDefault="00977055" w:rsidP="00977055">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0F53B34E" w14:textId="77777777" w:rsidR="00977055" w:rsidRPr="00977055" w:rsidRDefault="00977055" w:rsidP="00977055">
            <w:pPr>
              <w:spacing w:after="0" w:line="240" w:lineRule="auto"/>
              <w:jc w:val="center"/>
              <w:rPr>
                <w:rFonts w:ascii="Times New Roman" w:eastAsia="Times New Roman" w:hAnsi="Times New Roman" w:cs="Times New Roman"/>
                <w:sz w:val="20"/>
                <w:szCs w:val="20"/>
                <w:lang w:eastAsia="it-IT"/>
              </w:rPr>
            </w:pPr>
          </w:p>
        </w:tc>
      </w:tr>
      <w:tr w:rsidR="00977055" w:rsidRPr="00977055" w14:paraId="141577DE" w14:textId="77777777" w:rsidTr="00977055">
        <w:tc>
          <w:tcPr>
            <w:tcW w:w="0" w:type="auto"/>
            <w:vAlign w:val="center"/>
            <w:hideMark/>
          </w:tcPr>
          <w:p w14:paraId="7136EF24" w14:textId="77777777" w:rsidR="00977055" w:rsidRPr="00977055" w:rsidRDefault="00977055" w:rsidP="00977055">
            <w:pPr>
              <w:spacing w:after="0" w:line="240" w:lineRule="auto"/>
              <w:jc w:val="center"/>
              <w:rPr>
                <w:rFonts w:ascii="Times New Roman" w:eastAsia="Times New Roman" w:hAnsi="Times New Roman" w:cs="Times New Roman"/>
                <w:b/>
                <w:bCs/>
                <w:sz w:val="28"/>
                <w:szCs w:val="28"/>
                <w:lang w:eastAsia="it-IT"/>
              </w:rPr>
            </w:pPr>
            <w:r w:rsidRPr="00977055">
              <w:rPr>
                <w:rFonts w:ascii="Times New Roman" w:eastAsia="Times New Roman" w:hAnsi="Times New Roman" w:cs="Times New Roman"/>
                <w:b/>
                <w:bCs/>
                <w:sz w:val="28"/>
                <w:szCs w:val="28"/>
                <w:lang w:eastAsia="it-IT"/>
              </w:rPr>
              <w:t> </w:t>
            </w:r>
          </w:p>
        </w:tc>
        <w:tc>
          <w:tcPr>
            <w:tcW w:w="0" w:type="auto"/>
            <w:vAlign w:val="center"/>
            <w:hideMark/>
          </w:tcPr>
          <w:p w14:paraId="638119A2" w14:textId="77777777" w:rsidR="00977055" w:rsidRPr="00977055" w:rsidRDefault="00977055" w:rsidP="00977055">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6AC148DF" w14:textId="77777777" w:rsidR="00977055" w:rsidRPr="00977055" w:rsidRDefault="00977055" w:rsidP="00977055">
            <w:pPr>
              <w:spacing w:after="0" w:line="240" w:lineRule="auto"/>
              <w:jc w:val="center"/>
              <w:rPr>
                <w:rFonts w:ascii="Times New Roman" w:eastAsia="Times New Roman" w:hAnsi="Times New Roman" w:cs="Times New Roman"/>
                <w:sz w:val="20"/>
                <w:szCs w:val="20"/>
                <w:lang w:eastAsia="it-IT"/>
              </w:rPr>
            </w:pPr>
          </w:p>
        </w:tc>
      </w:tr>
      <w:tr w:rsidR="00977055" w:rsidRPr="00977055" w14:paraId="6B398DEA" w14:textId="77777777" w:rsidTr="00977055">
        <w:tc>
          <w:tcPr>
            <w:tcW w:w="0" w:type="auto"/>
            <w:vAlign w:val="center"/>
            <w:hideMark/>
          </w:tcPr>
          <w:p w14:paraId="16A445DC" w14:textId="77777777" w:rsidR="00977055" w:rsidRPr="00977055" w:rsidRDefault="00977055" w:rsidP="00977055">
            <w:pPr>
              <w:spacing w:after="0" w:line="240" w:lineRule="auto"/>
              <w:jc w:val="center"/>
              <w:rPr>
                <w:rFonts w:ascii="Times New Roman" w:eastAsia="Times New Roman" w:hAnsi="Times New Roman" w:cs="Times New Roman"/>
                <w:b/>
                <w:bCs/>
                <w:sz w:val="28"/>
                <w:szCs w:val="28"/>
                <w:lang w:eastAsia="it-IT"/>
              </w:rPr>
            </w:pPr>
            <w:r w:rsidRPr="00977055">
              <w:rPr>
                <w:rFonts w:ascii="Times New Roman" w:eastAsia="Times New Roman" w:hAnsi="Times New Roman" w:cs="Times New Roman"/>
                <w:b/>
                <w:bCs/>
                <w:sz w:val="28"/>
                <w:szCs w:val="28"/>
                <w:lang w:eastAsia="it-IT"/>
              </w:rPr>
              <w:t> </w:t>
            </w:r>
          </w:p>
        </w:tc>
        <w:tc>
          <w:tcPr>
            <w:tcW w:w="0" w:type="auto"/>
            <w:vAlign w:val="center"/>
            <w:hideMark/>
          </w:tcPr>
          <w:p w14:paraId="3718C3F7" w14:textId="77777777" w:rsidR="00977055" w:rsidRPr="00977055" w:rsidRDefault="00977055" w:rsidP="00977055">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4C22B9AA" w14:textId="77777777" w:rsidR="00977055" w:rsidRPr="00977055" w:rsidRDefault="00977055" w:rsidP="00977055">
            <w:pPr>
              <w:spacing w:after="0" w:line="240" w:lineRule="auto"/>
              <w:jc w:val="center"/>
              <w:rPr>
                <w:rFonts w:ascii="Times New Roman" w:eastAsia="Times New Roman" w:hAnsi="Times New Roman" w:cs="Times New Roman"/>
                <w:sz w:val="20"/>
                <w:szCs w:val="20"/>
                <w:lang w:eastAsia="it-IT"/>
              </w:rPr>
            </w:pPr>
          </w:p>
        </w:tc>
      </w:tr>
      <w:tr w:rsidR="00977055" w:rsidRPr="00977055" w14:paraId="4CC487B2" w14:textId="77777777" w:rsidTr="00977055">
        <w:tc>
          <w:tcPr>
            <w:tcW w:w="0" w:type="auto"/>
            <w:vAlign w:val="center"/>
            <w:hideMark/>
          </w:tcPr>
          <w:p w14:paraId="1A063E13" w14:textId="77777777" w:rsidR="00977055" w:rsidRPr="00977055" w:rsidRDefault="00977055" w:rsidP="00977055">
            <w:pPr>
              <w:spacing w:after="0" w:line="240" w:lineRule="auto"/>
              <w:jc w:val="center"/>
              <w:rPr>
                <w:rFonts w:ascii="Times New Roman" w:eastAsia="Times New Roman" w:hAnsi="Times New Roman" w:cs="Times New Roman"/>
                <w:b/>
                <w:bCs/>
                <w:sz w:val="28"/>
                <w:szCs w:val="28"/>
                <w:lang w:eastAsia="it-IT"/>
              </w:rPr>
            </w:pPr>
            <w:r w:rsidRPr="00977055">
              <w:rPr>
                <w:rFonts w:ascii="Times New Roman" w:eastAsia="Times New Roman" w:hAnsi="Times New Roman" w:cs="Times New Roman"/>
                <w:b/>
                <w:bCs/>
                <w:sz w:val="28"/>
                <w:szCs w:val="28"/>
                <w:lang w:eastAsia="it-IT"/>
              </w:rPr>
              <w:t> </w:t>
            </w:r>
          </w:p>
        </w:tc>
        <w:tc>
          <w:tcPr>
            <w:tcW w:w="0" w:type="auto"/>
            <w:vAlign w:val="center"/>
            <w:hideMark/>
          </w:tcPr>
          <w:p w14:paraId="7C882050" w14:textId="77777777" w:rsidR="00977055" w:rsidRPr="00977055" w:rsidRDefault="00977055" w:rsidP="00977055">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0D4C8CDC" w14:textId="77777777" w:rsidR="00977055" w:rsidRPr="00977055" w:rsidRDefault="00977055" w:rsidP="00977055">
            <w:pPr>
              <w:spacing w:after="0" w:line="240" w:lineRule="auto"/>
              <w:jc w:val="center"/>
              <w:rPr>
                <w:rFonts w:ascii="Times New Roman" w:eastAsia="Times New Roman" w:hAnsi="Times New Roman" w:cs="Times New Roman"/>
                <w:sz w:val="20"/>
                <w:szCs w:val="20"/>
                <w:lang w:eastAsia="it-IT"/>
              </w:rPr>
            </w:pPr>
          </w:p>
        </w:tc>
      </w:tr>
    </w:tbl>
    <w:p w14:paraId="2A96A536" w14:textId="77777777" w:rsidR="00977055" w:rsidRPr="00977055" w:rsidRDefault="00977055" w:rsidP="00977055">
      <w:pPr>
        <w:spacing w:after="0" w:line="540" w:lineRule="atLeast"/>
        <w:jc w:val="center"/>
        <w:rPr>
          <w:rFonts w:ascii="Garamond" w:eastAsia="Times New Roman" w:hAnsi="Garamond" w:cs="Times New Roman"/>
          <w:color w:val="000000"/>
          <w:sz w:val="30"/>
          <w:szCs w:val="30"/>
          <w:lang w:eastAsia="it-IT"/>
        </w:rPr>
      </w:pPr>
      <w:r w:rsidRPr="00977055">
        <w:rPr>
          <w:rFonts w:ascii="Garamond" w:eastAsia="Times New Roman" w:hAnsi="Garamond" w:cs="Times New Roman"/>
          <w:color w:val="000000"/>
          <w:sz w:val="30"/>
          <w:szCs w:val="30"/>
          <w:lang w:eastAsia="it-IT"/>
        </w:rPr>
        <w:t>IL SEGRETARIO</w:t>
      </w:r>
    </w:p>
    <w:p w14:paraId="0C3C5F5F" w14:textId="77777777" w:rsidR="00ED3778" w:rsidRDefault="00ED3778"/>
    <w:sectPr w:rsidR="00ED377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ordi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055"/>
    <w:rsid w:val="00977055"/>
    <w:rsid w:val="00ED37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29264"/>
  <w15:chartTrackingRefBased/>
  <w15:docId w15:val="{9320069B-991E-4C1B-812B-BF4CBC24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49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1549</Words>
  <Characters>8835</Characters>
  <Application>Microsoft Office Word</Application>
  <DocSecurity>0</DocSecurity>
  <Lines>73</Lines>
  <Paragraphs>20</Paragraphs>
  <ScaleCrop>false</ScaleCrop>
  <Company/>
  <LinksUpToDate>false</LinksUpToDate>
  <CharactersWithSpaces>10364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Barilla Carmelina</dc:creator>
  <cp:keywords/>
  <dc:description/>
  <cp:lastModifiedBy>Barilla Carmelina</cp:lastModifiedBy>
  <cp:revision>1</cp:revision>
  <dcterms:created xsi:type="dcterms:W3CDTF">2021-12-06T10:39:00Z</dcterms:created>
  <dcterms:modified xsi:type="dcterms:W3CDTF">2021-12-06T10:40:00Z</dcterms:modified>
</cp:coreProperties>
</file>