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17" w:rsidRPr="008E7217" w:rsidRDefault="008E7217" w:rsidP="008E7217">
      <w:pPr>
        <w:spacing w:after="0" w:line="240" w:lineRule="auto"/>
        <w:outlineLvl w:val="5"/>
        <w:rPr>
          <w:rFonts w:ascii="Times New Roman" w:eastAsia="Times New Roman" w:hAnsi="Times New Roman" w:cs="Times New Roman"/>
          <w:caps/>
          <w:sz w:val="24"/>
          <w:szCs w:val="24"/>
          <w:lang w:eastAsia="it-IT"/>
        </w:rPr>
      </w:pPr>
      <w:bookmarkStart w:id="0" w:name="_GoBack"/>
      <w:bookmarkEnd w:id="0"/>
      <w:r w:rsidRPr="008E7217">
        <w:rPr>
          <w:rFonts w:ascii="Times New Roman" w:eastAsia="Times New Roman" w:hAnsi="Times New Roman" w:cs="Times New Roman"/>
          <w:caps/>
          <w:sz w:val="24"/>
          <w:szCs w:val="24"/>
          <w:lang w:eastAsia="it-IT"/>
        </w:rPr>
        <w:t>CORTE DI CASSAZIONE, SEZIONE U CIVILE </w:t>
      </w:r>
      <w:r w:rsidRPr="008E7217">
        <w:rPr>
          <w:rFonts w:ascii="Times New Roman" w:eastAsia="Times New Roman" w:hAnsi="Times New Roman" w:cs="Times New Roman"/>
          <w:caps/>
          <w:sz w:val="24"/>
          <w:szCs w:val="24"/>
          <w:lang w:eastAsia="it-IT"/>
        </w:rPr>
        <w:br/>
        <w:t>SENTENZA 19 GENNAIO 2016, N. 786</w:t>
      </w:r>
      <w:r w:rsidRPr="008E7217">
        <w:rPr>
          <w:rFonts w:ascii="Times New Roman" w:eastAsia="Times New Roman" w:hAnsi="Times New Roman" w:cs="Times New Roman"/>
          <w:caps/>
          <w:sz w:val="24"/>
          <w:szCs w:val="24"/>
          <w:lang w:eastAsia="it-IT"/>
        </w:rPr>
        <w:br/>
        <w:t>DATA UDIENZA 3 NOVEMBRE 2015</w:t>
      </w:r>
      <w:r w:rsidRPr="008E7217">
        <w:rPr>
          <w:rFonts w:ascii="Times New Roman" w:eastAsia="Times New Roman" w:hAnsi="Times New Roman" w:cs="Times New Roman"/>
          <w:caps/>
          <w:sz w:val="24"/>
          <w:szCs w:val="24"/>
          <w:lang w:eastAsia="it-IT"/>
        </w:rPr>
        <w:br/>
      </w:r>
      <w:r w:rsidRPr="008E7217">
        <w:rPr>
          <w:rFonts w:ascii="Times New Roman" w:eastAsia="Times New Roman" w:hAnsi="Times New Roman" w:cs="Times New Roman"/>
          <w:caps/>
          <w:sz w:val="24"/>
          <w:szCs w:val="24"/>
          <w:lang w:eastAsia="it-IT"/>
        </w:rPr>
        <w:br/>
        <w:t>INTEGRALE</w:t>
      </w:r>
      <w:r w:rsidRPr="008E7217">
        <w:rPr>
          <w:rFonts w:ascii="Times New Roman" w:eastAsia="Times New Roman" w:hAnsi="Times New Roman" w:cs="Times New Roman"/>
          <w:caps/>
          <w:sz w:val="24"/>
          <w:szCs w:val="24"/>
          <w:lang w:eastAsia="it-IT"/>
        </w:rPr>
        <w:br/>
      </w:r>
      <w:r w:rsidRPr="008E7217">
        <w:rPr>
          <w:rFonts w:ascii="Times New Roman" w:eastAsia="Times New Roman" w:hAnsi="Times New Roman" w:cs="Times New Roman"/>
          <w:caps/>
          <w:sz w:val="24"/>
          <w:szCs w:val="24"/>
          <w:lang w:eastAsia="it-IT"/>
        </w:rPr>
        <w:br/>
        <w:t>PUBBLICO IMPIEGO - TRANSITO AD ALTRA AMMINISTRAZIONE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REPUBBLICA ITALIANA</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IN NOME DEL POPOLO ITALIANO</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LA CORTE SUPREMA DI CASSAZIONE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SEZIONI UNITE CIVILI</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 xml:space="preserve">Composta dagli Ill.mi </w:t>
      </w:r>
      <w:proofErr w:type="spellStart"/>
      <w:r w:rsidRPr="008E7217">
        <w:rPr>
          <w:rFonts w:ascii="Times New Roman" w:eastAsia="Times New Roman" w:hAnsi="Times New Roman" w:cs="Times New Roman"/>
          <w:color w:val="1A171B"/>
          <w:sz w:val="24"/>
          <w:szCs w:val="24"/>
          <w:lang w:eastAsia="it-IT"/>
        </w:rPr>
        <w:t>Sigg.ri</w:t>
      </w:r>
      <w:proofErr w:type="spellEnd"/>
      <w:r w:rsidRPr="008E7217">
        <w:rPr>
          <w:rFonts w:ascii="Times New Roman" w:eastAsia="Times New Roman" w:hAnsi="Times New Roman" w:cs="Times New Roman"/>
          <w:color w:val="1A171B"/>
          <w:sz w:val="24"/>
          <w:szCs w:val="24"/>
          <w:lang w:eastAsia="it-IT"/>
        </w:rPr>
        <w:t xml:space="preserve"> Magistrati:</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ROVELLI Luigi Antonio - Primo Presidente f.f.</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AMOROSO Giovanni - Presidente di sez.</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NOBILE Vittorio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SPIRITO Angelo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MATERA Lina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DIDONE Antonio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 xml:space="preserve">Dott. CURZIO Pietro - </w:t>
      </w:r>
      <w:proofErr w:type="spellStart"/>
      <w:r w:rsidRPr="008E7217">
        <w:rPr>
          <w:rFonts w:ascii="Times New Roman" w:eastAsia="Times New Roman" w:hAnsi="Times New Roman" w:cs="Times New Roman"/>
          <w:color w:val="1A171B"/>
          <w:sz w:val="24"/>
          <w:szCs w:val="24"/>
          <w:lang w:eastAsia="it-IT"/>
        </w:rPr>
        <w:t>rel</w:t>
      </w:r>
      <w:proofErr w:type="spellEnd"/>
      <w:r w:rsidRPr="008E7217">
        <w:rPr>
          <w:rFonts w:ascii="Times New Roman" w:eastAsia="Times New Roman" w:hAnsi="Times New Roman" w:cs="Times New Roman"/>
          <w:color w:val="1A171B"/>
          <w:sz w:val="24"/>
          <w:szCs w:val="24"/>
          <w:lang w:eastAsia="it-IT"/>
        </w:rPr>
        <w:t>.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AMBROSIO Annamaria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Dott. GRECO Antonio - Consigliere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t>ha pronunciato la seguente:</w:t>
      </w:r>
      <w:r w:rsidRPr="008E7217">
        <w:rPr>
          <w:rFonts w:ascii="Times New Roman" w:eastAsia="Times New Roman" w:hAnsi="Times New Roman" w:cs="Times New Roman"/>
          <w:color w:val="1A171B"/>
          <w:sz w:val="24"/>
          <w:szCs w:val="24"/>
          <w:lang w:eastAsia="it-IT"/>
        </w:rPr>
        <w:br/>
      </w:r>
      <w:r w:rsidRPr="008E7217">
        <w:rPr>
          <w:rFonts w:ascii="Times New Roman" w:eastAsia="Times New Roman" w:hAnsi="Times New Roman" w:cs="Times New Roman"/>
          <w:color w:val="1A171B"/>
          <w:sz w:val="24"/>
          <w:szCs w:val="24"/>
          <w:lang w:eastAsia="it-IT"/>
        </w:rPr>
        <w:br/>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SENTENZA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sul</w:t>
      </w:r>
      <w:proofErr w:type="gramEnd"/>
      <w:r w:rsidRPr="008E7217">
        <w:rPr>
          <w:rFonts w:ascii="Times New Roman" w:eastAsia="Times New Roman" w:hAnsi="Times New Roman" w:cs="Times New Roman"/>
          <w:color w:val="1A171B"/>
          <w:sz w:val="24"/>
          <w:szCs w:val="24"/>
          <w:lang w:eastAsia="it-IT"/>
        </w:rPr>
        <w:t xml:space="preserve"> ricorso 17038-2009 proposto da: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PRESIDENZA DEL CONSIGLIO DEI MINISTRI e della CORTE DEI CONTI, in persona dei rispettivi Presidenti pro-tempore, elettivamente domiciliati in ROMA, VIA DEI PORTOGHESI 12, presso l'AVVOCATURA GENERALE DELLO STATO, che li rappresenta e difende </w:t>
      </w:r>
      <w:proofErr w:type="spellStart"/>
      <w:r w:rsidRPr="008E7217">
        <w:rPr>
          <w:rFonts w:ascii="Times New Roman" w:eastAsia="Times New Roman" w:hAnsi="Times New Roman" w:cs="Times New Roman"/>
          <w:color w:val="1A171B"/>
          <w:sz w:val="24"/>
          <w:szCs w:val="24"/>
          <w:lang w:eastAsia="it-IT"/>
        </w:rPr>
        <w:t>ope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legis</w:t>
      </w:r>
      <w:proofErr w:type="spellEnd"/>
      <w:r w:rsidRPr="008E7217">
        <w:rPr>
          <w:rFonts w:ascii="Times New Roman" w:eastAsia="Times New Roman" w:hAnsi="Times New Roman" w:cs="Times New Roman"/>
          <w:color w:val="1A171B"/>
          <w:sz w:val="24"/>
          <w:szCs w:val="24"/>
          <w:lang w:eastAsia="it-IT"/>
        </w:rPr>
        <w:t>;</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ricorrenti -</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contro</w:t>
      </w:r>
      <w:proofErr w:type="gramEnd"/>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(OMISSIS) (OMISSIS), elettivamente domiciliato in (OMISSIS), presso lo studio dell'avvocato (OMISSIS), che lo rappresenta e difende, per delega a margine del controricorso;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controricorrente -</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avverso</w:t>
      </w:r>
      <w:proofErr w:type="gramEnd"/>
      <w:r w:rsidRPr="008E7217">
        <w:rPr>
          <w:rFonts w:ascii="Times New Roman" w:eastAsia="Times New Roman" w:hAnsi="Times New Roman" w:cs="Times New Roman"/>
          <w:color w:val="1A171B"/>
          <w:sz w:val="24"/>
          <w:szCs w:val="24"/>
          <w:lang w:eastAsia="it-IT"/>
        </w:rPr>
        <w:t xml:space="preserve"> la sentenza n. 292/2009 della CORTE D'APPELLO di TORINO, depositata il 21/04/2009;</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udita</w:t>
      </w:r>
      <w:proofErr w:type="gramEnd"/>
      <w:r w:rsidRPr="008E7217">
        <w:rPr>
          <w:rFonts w:ascii="Times New Roman" w:eastAsia="Times New Roman" w:hAnsi="Times New Roman" w:cs="Times New Roman"/>
          <w:color w:val="1A171B"/>
          <w:sz w:val="24"/>
          <w:szCs w:val="24"/>
          <w:lang w:eastAsia="it-IT"/>
        </w:rPr>
        <w:t xml:space="preserve"> la relazione della causa svolta nella pubblica udienza del 03/11/2015 dal Consigliere Dott. PIETRO CURZIO;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lastRenderedPageBreak/>
        <w:t>uditi</w:t>
      </w:r>
      <w:proofErr w:type="gramEnd"/>
      <w:r w:rsidRPr="008E7217">
        <w:rPr>
          <w:rFonts w:ascii="Times New Roman" w:eastAsia="Times New Roman" w:hAnsi="Times New Roman" w:cs="Times New Roman"/>
          <w:color w:val="1A171B"/>
          <w:sz w:val="24"/>
          <w:szCs w:val="24"/>
          <w:lang w:eastAsia="it-IT"/>
        </w:rPr>
        <w:t xml:space="preserve"> gli avvocati (OMISSIS) dell'Avvocatura Generale dello Stato, Iolanda PICCININNI;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proofErr w:type="gramStart"/>
      <w:r w:rsidRPr="008E7217">
        <w:rPr>
          <w:rFonts w:ascii="Times New Roman" w:eastAsia="Times New Roman" w:hAnsi="Times New Roman" w:cs="Times New Roman"/>
          <w:color w:val="1A171B"/>
          <w:sz w:val="24"/>
          <w:szCs w:val="24"/>
          <w:lang w:eastAsia="it-IT"/>
        </w:rPr>
        <w:t>udito</w:t>
      </w:r>
      <w:proofErr w:type="gramEnd"/>
      <w:r w:rsidRPr="008E7217">
        <w:rPr>
          <w:rFonts w:ascii="Times New Roman" w:eastAsia="Times New Roman" w:hAnsi="Times New Roman" w:cs="Times New Roman"/>
          <w:color w:val="1A171B"/>
          <w:sz w:val="24"/>
          <w:szCs w:val="24"/>
          <w:lang w:eastAsia="it-IT"/>
        </w:rPr>
        <w:t xml:space="preserve"> il P.M., in persona del Sostituto Procuratore Generale dott. FINOCCHI GHERSI Renato, che ha concluso per l'accoglimento del 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RAGIONI DELLA DECISIONE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 (OMISSIS), segretario comunale, si avvalse della procedura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prevista dal Decreto del Presidente della Repubblica 4 dicembre 1997, n. 465 e, per questa via, nel settembre 1998, </w:t>
      </w:r>
      <w:proofErr w:type="spellStart"/>
      <w:r w:rsidRPr="008E7217">
        <w:rPr>
          <w:rFonts w:ascii="Times New Roman" w:eastAsia="Times New Roman" w:hAnsi="Times New Roman" w:cs="Times New Roman"/>
          <w:color w:val="1A171B"/>
          <w:sz w:val="24"/>
          <w:szCs w:val="24"/>
          <w:lang w:eastAsia="it-IT"/>
        </w:rPr>
        <w:t>passo'</w:t>
      </w:r>
      <w:proofErr w:type="spellEnd"/>
      <w:r w:rsidRPr="008E7217">
        <w:rPr>
          <w:rFonts w:ascii="Times New Roman" w:eastAsia="Times New Roman" w:hAnsi="Times New Roman" w:cs="Times New Roman"/>
          <w:color w:val="1A171B"/>
          <w:sz w:val="24"/>
          <w:szCs w:val="24"/>
          <w:lang w:eastAsia="it-IT"/>
        </w:rPr>
        <w:t xml:space="preserve"> alle dipendenze della Corte dei conti. Entrata in vigore la legge 311 del 2004, chiese di essere inquadrato nel ruolo unico della dirigenza. L'amministrazione datrice di lavoro rispose negativamente.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 Il dipendente convenne l'amministrazione in giudizio dinanzi al Tribunale di Aosta, che accolse il ricorso riconoscendo il diritto all'inquadramento nel ruolo dirigenziale con le relative conseguenze </w:t>
      </w:r>
      <w:proofErr w:type="gramStart"/>
      <w:r w:rsidRPr="008E7217">
        <w:rPr>
          <w:rFonts w:ascii="Times New Roman" w:eastAsia="Times New Roman" w:hAnsi="Times New Roman" w:cs="Times New Roman"/>
          <w:color w:val="1A171B"/>
          <w:sz w:val="24"/>
          <w:szCs w:val="24"/>
          <w:lang w:eastAsia="it-IT"/>
        </w:rPr>
        <w:t>economiche.+</w:t>
      </w:r>
      <w:proofErr w:type="gramEnd"/>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3. La Presidenza del Consiglio dei Ministri e la Corte dei conti proposero appello, che fu rigettato dalla Corte d'appello di Torino, con sentenza pubblicata il 21 aprile 2009.</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4. La Presidenza del Consiglio dei Ministri e la Corte dei conti hanno proposto ricorso per cassazione, denunziando, con unico motivo, violazione ed erronea applicazione della Legge n. 311 del 2004, articolo 1, commi 48 e 49, Decreto del Presidente della Repubblica n. 465 del 1997, articoli 18 e 19, testo unico degli enti locali, articolo 101 e testo unico sul pubblico impiego, articoli 33 e 34.</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 Il (OMISSIS)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difeso con controricorso.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 Entrambe le parti hanno depositato memorie per l'udienza.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7. Con ordinanza interlocutoria la Sezione lavoro ha rimesso la controversia al Primo Presidente ritenendo la questione di massima importanza. Il Primo Presidente ha investito le Sezioni unite.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8. Il controricorrente ha depositato un'ulteriore memoria per l'udienza.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9. Il problema oggetto della controversia concerne l'interpretazione della Legge 30 dicembre 2004, n. 311, articolo 1, comma 19 (finanziaria 2005).</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10. Tale norma prevede che,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o provinciali verso altre amministrazioni, qualora sussistano determinati requisiti, costoro devono essere inquadrati "nei ruoli unici delle amministrazioni in cui prestano servizio alla data di entrata in vigore della presente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11. Il problema specifico, che ha determinato la rimessione alle Sezioni unite, consiste nello stabilire se tale disposizione riguardi solo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in corso o successivi alla data di entrata in vigore della legge oppure riguardi anche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avvenuti.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12. E' opportuno, preliminarmente, ricostruire nei passaggi di fondo il quadro normativo.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13.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verso altre amministrazioni dei segretari comunali e provinciali venne disciplinata dal Decreto del Presidente della Repubblica n. 465 del 1997 ("Regolamento recante disposizioni in materia di ordinamento dei segretari comunali e provinciali, a norma della Legge 15 maggio 1997, n. 127, articolo 17, comma 78") ed in particolare dagli articolo 18 e 19, che regolarono analiticamente il procedimento.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14. l'articolo 18, comma 11 stabilisce che "Il funzionario trasferito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collocato nei ruoli della amministrazione ricevente conservando il trattamento economico pensionabile e la qualifica in godimento, ove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favorevole, mediante attribuzione di assegno ad </w:t>
      </w:r>
      <w:proofErr w:type="spellStart"/>
      <w:r w:rsidRPr="008E7217">
        <w:rPr>
          <w:rFonts w:ascii="Times New Roman" w:eastAsia="Times New Roman" w:hAnsi="Times New Roman" w:cs="Times New Roman"/>
          <w:color w:val="1A171B"/>
          <w:sz w:val="24"/>
          <w:szCs w:val="24"/>
          <w:lang w:eastAsia="it-IT"/>
        </w:rPr>
        <w:t>personam</w:t>
      </w:r>
      <w:proofErr w:type="spellEnd"/>
      <w:r w:rsidRPr="008E7217">
        <w:rPr>
          <w:rFonts w:ascii="Times New Roman" w:eastAsia="Times New Roman" w:hAnsi="Times New Roman" w:cs="Times New Roman"/>
          <w:color w:val="1A171B"/>
          <w:sz w:val="24"/>
          <w:szCs w:val="24"/>
          <w:lang w:eastAsia="it-IT"/>
        </w:rPr>
        <w:t xml:space="preserve"> pari alla differenza tra il trattamento economico in godimento e quello previsto per la nuova qualifica, fino al riassorbimento a seguito dei futuri miglioramenti economici".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15. La materia fu regolata poi dal contratto collettivo nazionale di lavoro dei segretari comunali e provinciali 1998-2001 sottoscritto il 16 maggio 2001, che (con decorrenza 17 maggio 2001) distinse la disciplina in relazione alle qualifiche dei segretari. Costoro, in base all'articolo 35 del medesimo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erano stati divisi in tre fasce professionali, dalla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bassa (la C) alla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(la A)) con una fascia intermedia, la B, al cui in temo erano previste distinte posizioni stipendiali.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17. L'articolo 32 del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intitolato,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amministrazioni", </w:t>
      </w:r>
      <w:proofErr w:type="spellStart"/>
      <w:r w:rsidRPr="008E7217">
        <w:rPr>
          <w:rFonts w:ascii="Times New Roman" w:eastAsia="Times New Roman" w:hAnsi="Times New Roman" w:cs="Times New Roman"/>
          <w:color w:val="1A171B"/>
          <w:sz w:val="24"/>
          <w:szCs w:val="24"/>
          <w:lang w:eastAsia="it-IT"/>
        </w:rPr>
        <w:t>stabili'</w:t>
      </w:r>
      <w:proofErr w:type="spellEnd"/>
      <w:r w:rsidRPr="008E7217">
        <w:rPr>
          <w:rFonts w:ascii="Times New Roman" w:eastAsia="Times New Roman" w:hAnsi="Times New Roman" w:cs="Times New Roman"/>
          <w:color w:val="1A171B"/>
          <w:sz w:val="24"/>
          <w:szCs w:val="24"/>
          <w:lang w:eastAsia="it-IT"/>
        </w:rPr>
        <w:t xml:space="preserve">: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pubbliche amministrazioni, con la conseguente cancellazione dall'Albo: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a) il segretario collocato nella fascia professionale C del precedente articolo viene equiparato alla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b) il segretario collocato nella fascia professionale B, con lo stipendio tabellare iniziale di cui all'articolo 39, comma 2, viene equiparato alla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prevista dal sistema di classificazione vigente presso l'amministrazione di destinazione; la presente disciplina ha natura transitoria e si applica sino alla data del 31.12.2001.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c) il segretario collocato nella fascia professionale B, con lo stipendio tabellare economico di cui all'articolo 39, comma 1,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equiparato al personale con qualifica dirigenziale; d) il segretario collocato nella fascia 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equiparato al personale con qualifica dirigenziale".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17. Quindi, il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previde che i segretari comunali di fascia A, </w:t>
      </w:r>
      <w:proofErr w:type="spellStart"/>
      <w:r w:rsidRPr="008E7217">
        <w:rPr>
          <w:rFonts w:ascii="Times New Roman" w:eastAsia="Times New Roman" w:hAnsi="Times New Roman" w:cs="Times New Roman"/>
          <w:color w:val="1A171B"/>
          <w:sz w:val="24"/>
          <w:szCs w:val="24"/>
          <w:lang w:eastAsia="it-IT"/>
        </w:rPr>
        <w:t>nonche</w:t>
      </w:r>
      <w:proofErr w:type="spellEnd"/>
      <w:r w:rsidRPr="008E7217">
        <w:rPr>
          <w:rFonts w:ascii="Times New Roman" w:eastAsia="Times New Roman" w:hAnsi="Times New Roman" w:cs="Times New Roman"/>
          <w:color w:val="1A171B"/>
          <w:sz w:val="24"/>
          <w:szCs w:val="24"/>
          <w:lang w:eastAsia="it-IT"/>
        </w:rPr>
        <w:t xml:space="preserve">' quelli di fascia B con livello economico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elevato,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venissero inquadrati nella nuova amministrazione con qualifica dirigenziale, mentre tutti gli altri venivano inquadrati nelle categorie o aree professionali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ma non dirigenziali.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18. Una nuova normativa fu introdotta dalla Legge 27 luglio 2004, n. 186, che </w:t>
      </w:r>
      <w:proofErr w:type="spellStart"/>
      <w:r w:rsidRPr="008E7217">
        <w:rPr>
          <w:rFonts w:ascii="Times New Roman" w:eastAsia="Times New Roman" w:hAnsi="Times New Roman" w:cs="Times New Roman"/>
          <w:color w:val="1A171B"/>
          <w:sz w:val="24"/>
          <w:szCs w:val="24"/>
          <w:lang w:eastAsia="it-IT"/>
        </w:rPr>
        <w:t>abrogo'</w:t>
      </w:r>
      <w:proofErr w:type="spellEnd"/>
      <w:r w:rsidRPr="008E7217">
        <w:rPr>
          <w:rFonts w:ascii="Times New Roman" w:eastAsia="Times New Roman" w:hAnsi="Times New Roman" w:cs="Times New Roman"/>
          <w:color w:val="1A171B"/>
          <w:sz w:val="24"/>
          <w:szCs w:val="24"/>
          <w:lang w:eastAsia="it-IT"/>
        </w:rPr>
        <w:t xml:space="preserve"> l'articolo 18 dal Decreto del Presidente della Repubblica n. 465 del 1997, salvando solo principio di corrispondenza tra la qualifica di provenienza e quella di accesso alla nuova amministrazione fissato dall'undicesimo comma, e dispose che la materia veniva regolata dalla disciplina generale sulla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del personale dettata dal Decreto Legislativo 30 marzo 2001, n. 165, articolo 20 (c.d. testo unico sul pubblico impiego).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19. Pertanto, a seguito di quest'ultima riforma, il quadro normativo di riferimento in materia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fu uniformato a quello degli altri dipendenti pubblici.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20. Pochi mesi dopo, la Legge 30 dicembre 2004, n. 311 </w:t>
      </w:r>
      <w:proofErr w:type="spellStart"/>
      <w:r w:rsidRPr="008E7217">
        <w:rPr>
          <w:rFonts w:ascii="Times New Roman" w:eastAsia="Times New Roman" w:hAnsi="Times New Roman" w:cs="Times New Roman"/>
          <w:color w:val="1A171B"/>
          <w:sz w:val="24"/>
          <w:szCs w:val="24"/>
          <w:lang w:eastAsia="it-IT"/>
        </w:rPr>
        <w:t>apporto'</w:t>
      </w:r>
      <w:proofErr w:type="spellEnd"/>
      <w:r w:rsidRPr="008E7217">
        <w:rPr>
          <w:rFonts w:ascii="Times New Roman" w:eastAsia="Times New Roman" w:hAnsi="Times New Roman" w:cs="Times New Roman"/>
          <w:color w:val="1A171B"/>
          <w:sz w:val="24"/>
          <w:szCs w:val="24"/>
          <w:lang w:eastAsia="it-IT"/>
        </w:rPr>
        <w:t xml:space="preserve"> alcune ulteriori modifiche alla disciplina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affidate all'articolo 1, commi 47 - 49 che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recitano: comma 47. "In vigenza di disposizioni che stabiliscono un regime di limitazione delle assunzioni di personale a tempo indeterminato, sono consentiti trasferimenti per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anche intercompartimentale, tra amministrazioni sottoposte al regime di limitazione, nel rispetto delle disposizioni sulle dotazioni organiche e, per gli enti locali,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xml:space="preserve">' abbiano rispettato il patto di </w:t>
      </w:r>
      <w:proofErr w:type="spellStart"/>
      <w:r w:rsidRPr="008E7217">
        <w:rPr>
          <w:rFonts w:ascii="Times New Roman" w:eastAsia="Times New Roman" w:hAnsi="Times New Roman" w:cs="Times New Roman"/>
          <w:color w:val="1A171B"/>
          <w:sz w:val="24"/>
          <w:szCs w:val="24"/>
          <w:lang w:eastAsia="it-IT"/>
        </w:rPr>
        <w:t>stabilita'</w:t>
      </w:r>
      <w:proofErr w:type="spellEnd"/>
      <w:r w:rsidRPr="008E7217">
        <w:rPr>
          <w:rFonts w:ascii="Times New Roman" w:eastAsia="Times New Roman" w:hAnsi="Times New Roman" w:cs="Times New Roman"/>
          <w:color w:val="1A171B"/>
          <w:sz w:val="24"/>
          <w:szCs w:val="24"/>
          <w:lang w:eastAsia="it-IT"/>
        </w:rPr>
        <w:t xml:space="preserve"> interno per l'anno precedente". Comma 48: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presso altre pubbliche amministrazioni, con la conseguente cancellazione dall'albo, nelle more della nuova disciplina contrattuale, i segretari comunali e provinciali appartenenti alle fasce professionali A e B possono essere collocati, analogamente a quanto previsto per I' segretari appartenenti alla fascia C, nella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 previa espressa manifestazione di </w:t>
      </w:r>
      <w:proofErr w:type="spellStart"/>
      <w:r w:rsidRPr="008E7217">
        <w:rPr>
          <w:rFonts w:ascii="Times New Roman" w:eastAsia="Times New Roman" w:hAnsi="Times New Roman" w:cs="Times New Roman"/>
          <w:color w:val="1A171B"/>
          <w:sz w:val="24"/>
          <w:szCs w:val="24"/>
          <w:lang w:eastAsia="it-IT"/>
        </w:rPr>
        <w:t>volonta'</w:t>
      </w:r>
      <w:proofErr w:type="spellEnd"/>
      <w:r w:rsidRPr="008E7217">
        <w:rPr>
          <w:rFonts w:ascii="Times New Roman" w:eastAsia="Times New Roman" w:hAnsi="Times New Roman" w:cs="Times New Roman"/>
          <w:color w:val="1A171B"/>
          <w:sz w:val="24"/>
          <w:szCs w:val="24"/>
          <w:lang w:eastAsia="it-IT"/>
        </w:rPr>
        <w:t xml:space="preserve"> in tale senso". Comma 49: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i soggetti che abbiano prestato servizio effettivo di ruolo come segretari comunali o provinciali per almeno tre anni e che si siano avvalsi della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di cui all'articolo 18 del regolamento di cui al Decreto del Presidente della Repubblica 4 dicembre 1997, n. 465, sono inquadrati, nei limiti del contingente di cui al comma 96, nei ruoli unici delle amministrazioni in cui prestano servizio alla data di entrata in vigore della presente legge, ovvero di altre amministrazioni in cui si riscontrano carenze di organico, previo consenso dell'interessato, ai sensi ed agli effetti delle disposizioni in materia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e delle condizioni del contratto collettivo vigenti per la categoria".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21. Con il primo dei tre commi il legislatore sancisce che, in vigenza delle limitazioni alle assunzioni di personale, sono consentiti trasferimenti per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tra amministrazioni,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xml:space="preserve">' vengano rispettate determinate condizioni. In sostanza, a fronte del blocco totale delle assunzioni, si affidava il compito di fare fronte alle esigenze delle amministrazioni mediante il ricorso alla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personale da un'amministrazione all'altra.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22. All'interno di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alternativa alle nuove assunzioni integralmente bloccate, vennero dettate alcune regole specifiche per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regole che, per espressa affermazione legislativa, valevano in attesa della nuova contrattazione collettiva di settore ("nelle more della nuova disciplina contrattuale").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23. Queste regole, dettate in attesa della nuova disciplina collettiva, riguardano non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conclusi, ma quelli eventuali e futuri. Si tratta di regole che riducono le tutele previste dalla normativa del contratto collettivo 1998-2001.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24. Infatti, in deroga a quanto previsto da tale contratto, si stabilisce che anche "gli appartenenti alle fasce professionali A e B, analogamente a quanto previsto per i segretari appartenenti alla fascia C" possono essere collocati, previo loro consenso, nella "categoria o area professionale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alta prevista dal sistema di classificazione vigente presso l'amministrazione di destinazione".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25. Quindi, mentre nel sistema delineato dal </w:t>
      </w:r>
      <w:proofErr w:type="spellStart"/>
      <w:r w:rsidRPr="008E7217">
        <w:rPr>
          <w:rFonts w:ascii="Times New Roman" w:eastAsia="Times New Roman" w:hAnsi="Times New Roman" w:cs="Times New Roman"/>
          <w:color w:val="1A171B"/>
          <w:sz w:val="24"/>
          <w:szCs w:val="24"/>
          <w:lang w:eastAsia="it-IT"/>
        </w:rPr>
        <w:t>ccnl</w:t>
      </w:r>
      <w:proofErr w:type="spellEnd"/>
      <w:r w:rsidRPr="008E7217">
        <w:rPr>
          <w:rFonts w:ascii="Times New Roman" w:eastAsia="Times New Roman" w:hAnsi="Times New Roman" w:cs="Times New Roman"/>
          <w:color w:val="1A171B"/>
          <w:sz w:val="24"/>
          <w:szCs w:val="24"/>
          <w:lang w:eastAsia="it-IT"/>
        </w:rPr>
        <w:t xml:space="preserve"> 1998-2001 il personale di fascia A e di fascia B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elevata,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accedeva alla dirigenza presso le amministrazioni di destinazione, nel nuovo contesto normativo,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restrittivo, anche per queste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si rese possibile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senza acquisizione della qualifica di dirigente.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26. Questa lettura della norma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stata confermata dall'interpretazione autentica fornita dalla Legge n. 246 del 2005, articolo 16, comma 4, che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si esprime: "la Legge 30 dicembre 2004, n. 311, articolo 1, comma 48 si interpreta nel senso che i segretari comunali e provinciali appartenenti alle fasce professionali A e B possono essere collocati in posizioni professionali equivalenti alla ex 9 qualifica funzionale del comparto Ministeri, previa espressa manifestazione di </w:t>
      </w:r>
      <w:proofErr w:type="spellStart"/>
      <w:r w:rsidRPr="008E7217">
        <w:rPr>
          <w:rFonts w:ascii="Times New Roman" w:eastAsia="Times New Roman" w:hAnsi="Times New Roman" w:cs="Times New Roman"/>
          <w:color w:val="1A171B"/>
          <w:sz w:val="24"/>
          <w:szCs w:val="24"/>
          <w:lang w:eastAsia="it-IT"/>
        </w:rPr>
        <w:t>volonta'</w:t>
      </w:r>
      <w:proofErr w:type="spellEnd"/>
      <w:r w:rsidRPr="008E7217">
        <w:rPr>
          <w:rFonts w:ascii="Times New Roman" w:eastAsia="Times New Roman" w:hAnsi="Times New Roman" w:cs="Times New Roman"/>
          <w:color w:val="1A171B"/>
          <w:sz w:val="24"/>
          <w:szCs w:val="24"/>
          <w:lang w:eastAsia="it-IT"/>
        </w:rPr>
        <w:t xml:space="preserve"> in tale senso, con spettanza del trattamento economico corrispondente".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27. Il comma 49 aggiunge che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il trasferimento ad altre amministrazioni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comportare l'accesso ai ruoli unici della dirigenza in presenza di determinate condizioni ed entro determinali limiti.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28. Le condizioni sono che i soggetti si siano avvalsi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ai sensi del Decreto Legislativo n. 465 del 1997, articolo 18 e che abbiano prestato servizio di ruolo per almeno tre anni. Il limite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costituito dal contingentamento di cui al comma 96 del medesimo articolo 1.</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29. Il problema al centro della presente controversia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quello di stabilire se questo complesso di regole valga anche per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che si sono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 magari molti anni prima come quella del ricorrente.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30. La sentenza impugnata sostiene che esso valga per qualsiasi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anche esauritasi anni addietro, </w:t>
      </w:r>
      <w:proofErr w:type="spellStart"/>
      <w:r w:rsidRPr="008E7217">
        <w:rPr>
          <w:rFonts w:ascii="Times New Roman" w:eastAsia="Times New Roman" w:hAnsi="Times New Roman" w:cs="Times New Roman"/>
          <w:color w:val="1A171B"/>
          <w:sz w:val="24"/>
          <w:szCs w:val="24"/>
          <w:lang w:eastAsia="it-IT"/>
        </w:rPr>
        <w:t>purche</w:t>
      </w:r>
      <w:proofErr w:type="spellEnd"/>
      <w:r w:rsidRPr="008E7217">
        <w:rPr>
          <w:rFonts w:ascii="Times New Roman" w:eastAsia="Times New Roman" w:hAnsi="Times New Roman" w:cs="Times New Roman"/>
          <w:color w:val="1A171B"/>
          <w:sz w:val="24"/>
          <w:szCs w:val="24"/>
          <w:lang w:eastAsia="it-IT"/>
        </w:rPr>
        <w:t>' sussistano le due condizioni relative al tipo di accesso e alla permanenza in ruolo per almeno tre anni.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31. La Sezione lavoro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espressa con tre sentenze, tutte di segno contrario a questa tesi.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32. Con la sentenza 8 gennaio 2014, n. 165,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rigettato il ricorso di una ex segretaria comunale, passata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all'INAIL, contro la decisione con la quale la Corte d'appello di Brescia aveva escluso che potesse accedere alla dirigenza, pur presentando le due condizioni su indicate, </w:t>
      </w:r>
      <w:proofErr w:type="spellStart"/>
      <w:r w:rsidRPr="008E7217">
        <w:rPr>
          <w:rFonts w:ascii="Times New Roman" w:eastAsia="Times New Roman" w:hAnsi="Times New Roman" w:cs="Times New Roman"/>
          <w:color w:val="1A171B"/>
          <w:sz w:val="24"/>
          <w:szCs w:val="24"/>
          <w:lang w:eastAsia="it-IT"/>
        </w:rPr>
        <w:t>poiche</w:t>
      </w:r>
      <w:proofErr w:type="spellEnd"/>
      <w:r w:rsidRPr="008E7217">
        <w:rPr>
          <w:rFonts w:ascii="Times New Roman" w:eastAsia="Times New Roman" w:hAnsi="Times New Roman" w:cs="Times New Roman"/>
          <w:color w:val="1A171B"/>
          <w:sz w:val="24"/>
          <w:szCs w:val="24"/>
          <w:lang w:eastAsia="it-IT"/>
        </w:rPr>
        <w:t xml:space="preserve">' il suo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era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completato al momento della entrata in vigore della Legge del 2004.</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33. Altro collegio della Sezione lavoro, con sentenza del 20 gennaio 2014, n. 1047 ha rigettato il ricorso di due ex segretari comunali contro analoga decisione, questa volta della Corte d'appello di Roma, affermando il medesimo principio di diritto.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34. Questo secondo collegio ha ulteriormente ribadito la scelta, con la sentenza 22 gennaio 2014, n. 1324) respingendo il ricorso di un ex segretario comunale transitato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 Ministero dell'ambiente.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35. Con ordinanza interlocutoria del 27 gennaio 2015, n. 6369,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tuttavia ritenuto di rimettere la controversia al Primo Presidente, pur in assenza di un contrasto, ritenendo la questione di massima importanza, al fine di garantire la certezza del diritto in pendenza di numerose analoghe controversie in sede di </w:t>
      </w:r>
      <w:proofErr w:type="spellStart"/>
      <w:r w:rsidRPr="008E7217">
        <w:rPr>
          <w:rFonts w:ascii="Times New Roman" w:eastAsia="Times New Roman" w:hAnsi="Times New Roman" w:cs="Times New Roman"/>
          <w:color w:val="1A171B"/>
          <w:sz w:val="24"/>
          <w:szCs w:val="24"/>
          <w:lang w:eastAsia="it-IT"/>
        </w:rPr>
        <w:t>legittimita'</w:t>
      </w:r>
      <w:proofErr w:type="spellEnd"/>
      <w:r w:rsidRPr="008E7217">
        <w:rPr>
          <w:rFonts w:ascii="Times New Roman" w:eastAsia="Times New Roman" w:hAnsi="Times New Roman" w:cs="Times New Roman"/>
          <w:color w:val="1A171B"/>
          <w:sz w:val="24"/>
          <w:szCs w:val="24"/>
          <w:lang w:eastAsia="it-IT"/>
        </w:rPr>
        <w:t xml:space="preserve"> e di un consistente orientamento di segno contrario in sede di merito.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 sottolinea l'ordinanza - anche in ossequio al principio del giusto processo e della sua ragionevole durata, che da un'eventuale pronuncia di questa Corte a Sezioni unite trarrebbe sicuro giovamento, con utile ripercussione sui numerosi procedimenti in corso a livello nazionale".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36. Il ricorso dell'amministrazione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fondato e deve essere accolto.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37. La sentenza della Corte d'appello avendo verificato che il ricorrente era stato segretario comunale per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di tre anni e che si era avvalso della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prevista dal Decreto del Presidente </w:t>
      </w:r>
      <w:r w:rsidRPr="008E7217">
        <w:rPr>
          <w:rFonts w:ascii="Times New Roman" w:eastAsia="Times New Roman" w:hAnsi="Times New Roman" w:cs="Times New Roman"/>
          <w:color w:val="1A171B"/>
          <w:sz w:val="24"/>
          <w:szCs w:val="24"/>
          <w:lang w:eastAsia="it-IT"/>
        </w:rPr>
        <w:lastRenderedPageBreak/>
        <w:t xml:space="preserve">della Repubblica n. 465 del 1997, articolo 18 ha ritenuto che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bastasse a fondare il diritto all'inquadramento nel ruolo di dirigente.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38. La tesi si basa su di una lettura </w:t>
      </w:r>
      <w:proofErr w:type="spellStart"/>
      <w:r w:rsidRPr="008E7217">
        <w:rPr>
          <w:rFonts w:ascii="Times New Roman" w:eastAsia="Times New Roman" w:hAnsi="Times New Roman" w:cs="Times New Roman"/>
          <w:color w:val="1A171B"/>
          <w:sz w:val="24"/>
          <w:szCs w:val="24"/>
          <w:lang w:eastAsia="it-IT"/>
        </w:rPr>
        <w:t>asistemica</w:t>
      </w:r>
      <w:proofErr w:type="spellEnd"/>
      <w:r w:rsidRPr="008E7217">
        <w:rPr>
          <w:rFonts w:ascii="Times New Roman" w:eastAsia="Times New Roman" w:hAnsi="Times New Roman" w:cs="Times New Roman"/>
          <w:color w:val="1A171B"/>
          <w:sz w:val="24"/>
          <w:szCs w:val="24"/>
          <w:lang w:eastAsia="it-IT"/>
        </w:rPr>
        <w:t xml:space="preserve"> del comma 49, interpretato dando rilievo ad alcuni termini in esso contenuti senza considerare altri elementi letterali di segno contrario, ma soprattutto estraendo il comma dal contesto in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inserito, senza tener conto dei precisi collegamenti alle altre disposizioni della medesima legge, </w:t>
      </w:r>
      <w:proofErr w:type="spellStart"/>
      <w:r w:rsidRPr="008E7217">
        <w:rPr>
          <w:rFonts w:ascii="Times New Roman" w:eastAsia="Times New Roman" w:hAnsi="Times New Roman" w:cs="Times New Roman"/>
          <w:color w:val="1A171B"/>
          <w:sz w:val="24"/>
          <w:szCs w:val="24"/>
          <w:lang w:eastAsia="it-IT"/>
        </w:rPr>
        <w:t>nonche</w:t>
      </w:r>
      <w:proofErr w:type="spellEnd"/>
      <w:r w:rsidRPr="008E7217">
        <w:rPr>
          <w:rFonts w:ascii="Times New Roman" w:eastAsia="Times New Roman" w:hAnsi="Times New Roman" w:cs="Times New Roman"/>
          <w:color w:val="1A171B"/>
          <w:sz w:val="24"/>
          <w:szCs w:val="24"/>
          <w:lang w:eastAsia="it-IT"/>
        </w:rPr>
        <w:t xml:space="preserve">' al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generale quadro normativo che disciplina la materia.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39. Sul piano dell'interpretazione letterale, la tesi concentrandosi sul rilievo che la norma prevede l'inquadramento, in presenza di determinate condizioni, nei ruoli unici presso le amministrazioni in cui i soggetti in questione prestano servizio (o, invero, presso altre amministrazioni in cui si riscontrano carenze di organico), ritiene che l'utilizzazione del sostantivo soggetti e dell'indicativo presente prestano servizio imponga di affermare che essa si estenda anche a tutte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che abbiano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implicato il passaggio dei segretari alle dipendenze delle amministrazioni di destinazione e che quindi si siano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concluse all'epoca della entrata in vigore della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40. In </w:t>
      </w:r>
      <w:proofErr w:type="spellStart"/>
      <w:r w:rsidRPr="008E7217">
        <w:rPr>
          <w:rFonts w:ascii="Times New Roman" w:eastAsia="Times New Roman" w:hAnsi="Times New Roman" w:cs="Times New Roman"/>
          <w:color w:val="1A171B"/>
          <w:sz w:val="24"/>
          <w:szCs w:val="24"/>
          <w:lang w:eastAsia="it-IT"/>
        </w:rPr>
        <w:t>realta'</w:t>
      </w:r>
      <w:proofErr w:type="spellEnd"/>
      <w:r w:rsidRPr="008E7217">
        <w:rPr>
          <w:rFonts w:ascii="Times New Roman" w:eastAsia="Times New Roman" w:hAnsi="Times New Roman" w:cs="Times New Roman"/>
          <w:color w:val="1A171B"/>
          <w:sz w:val="24"/>
          <w:szCs w:val="24"/>
          <w:lang w:eastAsia="it-IT"/>
        </w:rPr>
        <w:t xml:space="preserve">,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ben messo in evidenza nelle sentenze n. 1047 e n. 1324 del 2014 e come si </w:t>
      </w:r>
      <w:proofErr w:type="spellStart"/>
      <w:r w:rsidRPr="008E7217">
        <w:rPr>
          <w:rFonts w:ascii="Times New Roman" w:eastAsia="Times New Roman" w:hAnsi="Times New Roman" w:cs="Times New Roman"/>
          <w:color w:val="1A171B"/>
          <w:sz w:val="24"/>
          <w:szCs w:val="24"/>
          <w:lang w:eastAsia="it-IT"/>
        </w:rPr>
        <w:t>vedra'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avanti, all'epoca della legge vi erano situazioni in cui il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aveva comportato l'assegnazione in via provvisoria ad una nuova amministrazione, senza ancora essersi concluso con l'inquadramento nei relativi organici.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41. Ma </w:t>
      </w:r>
      <w:proofErr w:type="spellStart"/>
      <w:r w:rsidRPr="008E7217">
        <w:rPr>
          <w:rFonts w:ascii="Times New Roman" w:eastAsia="Times New Roman" w:hAnsi="Times New Roman" w:cs="Times New Roman"/>
          <w:color w:val="1A171B"/>
          <w:sz w:val="24"/>
          <w:szCs w:val="24"/>
          <w:lang w:eastAsia="it-IT"/>
        </w:rPr>
        <w:t>cio'</w:t>
      </w:r>
      <w:proofErr w:type="spellEnd"/>
      <w:r w:rsidRPr="008E7217">
        <w:rPr>
          <w:rFonts w:ascii="Times New Roman" w:eastAsia="Times New Roman" w:hAnsi="Times New Roman" w:cs="Times New Roman"/>
          <w:color w:val="1A171B"/>
          <w:sz w:val="24"/>
          <w:szCs w:val="24"/>
          <w:lang w:eastAsia="it-IT"/>
        </w:rPr>
        <w:t xml:space="preserve"> che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importante rilevare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che in tal modo non si tiene conto di un altro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decisivo elemento testuale, costituito dal fatto che la norma non riguarda indistintamente tutti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ma ha un circoscritto ambito di applicazione.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42. In proposito la disposizione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molto chiara, in quanto si apre con la formula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 Questo collegamento testuale restringe il campo di applicazione della norma, la cui disciplina non vale per qualsiasi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ma solo per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43. Il comma 48, a sua volta collegato al 47 che prevede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quale alternativa al blocco delle assunzioni operato dalla Legge n. 311 del 2004, detta una disciplina che non riguarda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completate, ma guarda al futuro prescrivendo che, in attesa di nuove norme contrattuali ("nelle more della nuova disciplina contrattuale"), 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in deroga a quanto previsto dal contratto collettivo del 1998-2001, potranno comportare il mancato accesso alla dirigenza non solo per i segretari comunali di qualifica C e B (meno elevate), ma anche per le qualifiche A e B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44. Questa prospettiva derogatoria (resa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esplicita dalla Legge di interpretazione autentica n. 246 del 2005) della disciplina contrattuale collettiva, indica in maniera netta che la nuova normativa non riguarda il passato, non potendo certo incidere sulle qualifiche dirigenziali acquisite dai segretari di livello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elevato il cui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si era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completato.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45. Se la disciplina del comma 48 non riguarda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 tale carattere si estende al comma 49,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questo comma,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visto, si apre con la formula "Nell'ambito del processo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di cui al comma 48".</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46. Un ulteriore dato letterale da considerare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costituito dal fatto che il comma 49 non si limita a richiedere due condizioni, ma pone anche un limite all'accesso alla dirigenza, laddove prescrive che tale accesso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avvenire "nei limiti del contingente di cui al comma 96". Le previsioni di spesa contenute in questo comma sono tutte rivolte al futuro e non a ricostruzioni di situazioni pregresse. Non vi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alcuna previsione di spesa per le ricostruzioni di carriera derivanti dalla estensione della normativa a tutte le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compiutesi.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47. La soluzione che esclude </w:t>
      </w:r>
      <w:proofErr w:type="spellStart"/>
      <w:r w:rsidRPr="008E7217">
        <w:rPr>
          <w:rFonts w:ascii="Times New Roman" w:eastAsia="Times New Roman" w:hAnsi="Times New Roman" w:cs="Times New Roman"/>
          <w:color w:val="1A171B"/>
          <w:sz w:val="24"/>
          <w:szCs w:val="24"/>
          <w:lang w:eastAsia="it-IT"/>
        </w:rPr>
        <w:t>l'applicabilita'</w:t>
      </w:r>
      <w:proofErr w:type="spellEnd"/>
      <w:r w:rsidRPr="008E7217">
        <w:rPr>
          <w:rFonts w:ascii="Times New Roman" w:eastAsia="Times New Roman" w:hAnsi="Times New Roman" w:cs="Times New Roman"/>
          <w:color w:val="1A171B"/>
          <w:sz w:val="24"/>
          <w:szCs w:val="24"/>
          <w:lang w:eastAsia="it-IT"/>
        </w:rPr>
        <w:t xml:space="preserve"> della normativa del 2004 ai processi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esauriti trova, poi, il suo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solido fondamento nell'interpretazione sistematica e teleologia.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48. Come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visto, la regola dettata nel 1997 fu quella per cui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comporta il passaggio all'amministrazione di destinazione con la medesima qualifica rivestita nell'amministrazione di provenienza.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lastRenderedPageBreak/>
        <w:t xml:space="preserve">49. Il contratto collettivo nazionale dei segretari comunali e provinciali 1998-2001 (con decorrenza 17 maggio 2001), da un lato rivide il sistema delle qualifiche (articolo 35), dall'altro </w:t>
      </w:r>
      <w:proofErr w:type="spellStart"/>
      <w:r w:rsidRPr="008E7217">
        <w:rPr>
          <w:rFonts w:ascii="Times New Roman" w:eastAsia="Times New Roman" w:hAnsi="Times New Roman" w:cs="Times New Roman"/>
          <w:color w:val="1A171B"/>
          <w:sz w:val="24"/>
          <w:szCs w:val="24"/>
          <w:lang w:eastAsia="it-IT"/>
        </w:rPr>
        <w:t>consenti'</w:t>
      </w:r>
      <w:proofErr w:type="spellEnd"/>
      <w:r w:rsidRPr="008E7217">
        <w:rPr>
          <w:rFonts w:ascii="Times New Roman" w:eastAsia="Times New Roman" w:hAnsi="Times New Roman" w:cs="Times New Roman"/>
          <w:color w:val="1A171B"/>
          <w:sz w:val="24"/>
          <w:szCs w:val="24"/>
          <w:lang w:eastAsia="it-IT"/>
        </w:rPr>
        <w:t xml:space="preserve"> solo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l'accesso, in caso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alla dirigenza.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50. La Legge 27 luglio 2004, n. 186, </w:t>
      </w:r>
      <w:proofErr w:type="spellStart"/>
      <w:r w:rsidRPr="008E7217">
        <w:rPr>
          <w:rFonts w:ascii="Times New Roman" w:eastAsia="Times New Roman" w:hAnsi="Times New Roman" w:cs="Times New Roman"/>
          <w:color w:val="1A171B"/>
          <w:sz w:val="24"/>
          <w:szCs w:val="24"/>
          <w:lang w:eastAsia="it-IT"/>
        </w:rPr>
        <w:t>modifico'</w:t>
      </w:r>
      <w:proofErr w:type="spellEnd"/>
      <w:r w:rsidRPr="008E7217">
        <w:rPr>
          <w:rFonts w:ascii="Times New Roman" w:eastAsia="Times New Roman" w:hAnsi="Times New Roman" w:cs="Times New Roman"/>
          <w:color w:val="1A171B"/>
          <w:sz w:val="24"/>
          <w:szCs w:val="24"/>
          <w:lang w:eastAsia="it-IT"/>
        </w:rPr>
        <w:t xml:space="preserve"> nuovamente il quadro uniformando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alla disciplina generale sulla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dettata dal tu. </w:t>
      </w:r>
      <w:proofErr w:type="gramStart"/>
      <w:r w:rsidRPr="008E7217">
        <w:rPr>
          <w:rFonts w:ascii="Times New Roman" w:eastAsia="Times New Roman" w:hAnsi="Times New Roman" w:cs="Times New Roman"/>
          <w:color w:val="1A171B"/>
          <w:sz w:val="24"/>
          <w:szCs w:val="24"/>
          <w:lang w:eastAsia="it-IT"/>
        </w:rPr>
        <w:t>sul</w:t>
      </w:r>
      <w:proofErr w:type="gramEnd"/>
      <w:r w:rsidRPr="008E7217">
        <w:rPr>
          <w:rFonts w:ascii="Times New Roman" w:eastAsia="Times New Roman" w:hAnsi="Times New Roman" w:cs="Times New Roman"/>
          <w:color w:val="1A171B"/>
          <w:sz w:val="24"/>
          <w:szCs w:val="24"/>
          <w:lang w:eastAsia="it-IT"/>
        </w:rPr>
        <w:t xml:space="preserve"> pubblico impiego (articolo 30) per tutti i dipendenti pubblici.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51. La Legge 30 dicembre 2004, n. 311, interpretata autenticamente dalla Legge n. 246 del 2005 </w:t>
      </w:r>
      <w:proofErr w:type="spellStart"/>
      <w:r w:rsidRPr="008E7217">
        <w:rPr>
          <w:rFonts w:ascii="Times New Roman" w:eastAsia="Times New Roman" w:hAnsi="Times New Roman" w:cs="Times New Roman"/>
          <w:color w:val="1A171B"/>
          <w:sz w:val="24"/>
          <w:szCs w:val="24"/>
          <w:lang w:eastAsia="it-IT"/>
        </w:rPr>
        <w:t>cit</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apporto'</w:t>
      </w:r>
      <w:proofErr w:type="spellEnd"/>
      <w:r w:rsidRPr="008E7217">
        <w:rPr>
          <w:rFonts w:ascii="Times New Roman" w:eastAsia="Times New Roman" w:hAnsi="Times New Roman" w:cs="Times New Roman"/>
          <w:color w:val="1A171B"/>
          <w:sz w:val="24"/>
          <w:szCs w:val="24"/>
          <w:lang w:eastAsia="it-IT"/>
        </w:rPr>
        <w:t xml:space="preserve"> ulteriori modifiche in senso riduttivo, prevedendo che anche per i segretari comunali e provinciali delle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l'accesso alla dirigenza non costituisse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la regola.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52. Alla luce di questa evoluzione della disciplina, appare ancora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chiaro che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corretto estrarre il comma 49 dal contesto sistemico in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inserito, elidendo il preciso collegamento operato con il suo incipit.</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53. Il legislatore ha impostato 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in base alla regola della corrispondenza delle qualifiche, il contratto collettivo 1998-2001 ha operato una parziale modifica prevedendo l'accesso alla dirigenza nella amministrazione di destinazione limitatamente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La legislazione successiva ha attenuato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uniformando la disciplina a quella degli altri dipendenti pubblici e poi riducendo l'accesso alla dirigenza anche per 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in espressa deroga a quanto la contrattazione collettiva aveva stabilito. Sarebbe fortemente contraddittorio interpretare la Legge n. 311 del 2004, articolo 1, comma 49 in maniera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estensiva da imporre una generalizzazione dell'accesso alla dirigenza sulla base dei due requisiti minimali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volte citati, al di </w:t>
      </w:r>
      <w:proofErr w:type="spellStart"/>
      <w:r w:rsidRPr="008E7217">
        <w:rPr>
          <w:rFonts w:ascii="Times New Roman" w:eastAsia="Times New Roman" w:hAnsi="Times New Roman" w:cs="Times New Roman"/>
          <w:color w:val="1A171B"/>
          <w:sz w:val="24"/>
          <w:szCs w:val="24"/>
          <w:lang w:eastAsia="it-IT"/>
        </w:rPr>
        <w:t>la'</w:t>
      </w:r>
      <w:proofErr w:type="spellEnd"/>
      <w:r w:rsidRPr="008E7217">
        <w:rPr>
          <w:rFonts w:ascii="Times New Roman" w:eastAsia="Times New Roman" w:hAnsi="Times New Roman" w:cs="Times New Roman"/>
          <w:color w:val="1A171B"/>
          <w:sz w:val="24"/>
          <w:szCs w:val="24"/>
          <w:lang w:eastAsia="it-IT"/>
        </w:rPr>
        <w:t xml:space="preserve"> della chiara delimitazione dell'ambito di applicazione tracciata dalla norma.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54. In senso contrario, si assume che l'interpretazione concorde delle tre sentenze di </w:t>
      </w:r>
      <w:proofErr w:type="spellStart"/>
      <w:r w:rsidRPr="008E7217">
        <w:rPr>
          <w:rFonts w:ascii="Times New Roman" w:eastAsia="Times New Roman" w:hAnsi="Times New Roman" w:cs="Times New Roman"/>
          <w:color w:val="1A171B"/>
          <w:sz w:val="24"/>
          <w:szCs w:val="24"/>
          <w:lang w:eastAsia="it-IT"/>
        </w:rPr>
        <w:t>legittimita'</w:t>
      </w:r>
      <w:proofErr w:type="spellEnd"/>
      <w:r w:rsidRPr="008E7217">
        <w:rPr>
          <w:rFonts w:ascii="Times New Roman" w:eastAsia="Times New Roman" w:hAnsi="Times New Roman" w:cs="Times New Roman"/>
          <w:color w:val="1A171B"/>
          <w:sz w:val="24"/>
          <w:szCs w:val="24"/>
          <w:lang w:eastAsia="it-IT"/>
        </w:rPr>
        <w:t xml:space="preserve">, in questa sede condivisa, contrasterebbe con il principio di conservazione affermato dall'articolo 1367 c.c. per cui il contratto o le singole clausole devono interpretarsi nel senso in cui possono avere qualche effetto, </w:t>
      </w:r>
      <w:proofErr w:type="spellStart"/>
      <w:r w:rsidRPr="008E7217">
        <w:rPr>
          <w:rFonts w:ascii="Times New Roman" w:eastAsia="Times New Roman" w:hAnsi="Times New Roman" w:cs="Times New Roman"/>
          <w:color w:val="1A171B"/>
          <w:sz w:val="24"/>
          <w:szCs w:val="24"/>
          <w:lang w:eastAsia="it-IT"/>
        </w:rPr>
        <w:t>anziche</w:t>
      </w:r>
      <w:proofErr w:type="spellEnd"/>
      <w:r w:rsidRPr="008E7217">
        <w:rPr>
          <w:rFonts w:ascii="Times New Roman" w:eastAsia="Times New Roman" w:hAnsi="Times New Roman" w:cs="Times New Roman"/>
          <w:color w:val="1A171B"/>
          <w:sz w:val="24"/>
          <w:szCs w:val="24"/>
          <w:lang w:eastAsia="it-IT"/>
        </w:rPr>
        <w:t xml:space="preserve">' in quello secondo cui non ne avrebbero alcuno. E questa seconda situazione ricorrerebbe nel caso in esame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non vi sarebbero stati segretari comunali o provinciali la cui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al momento della entrata in vigore della Legge n. 311 del 2004 fosse ancora in corso.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55. La prospettazione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condivisibile per una </w:t>
      </w:r>
      <w:proofErr w:type="spellStart"/>
      <w:r w:rsidRPr="008E7217">
        <w:rPr>
          <w:rFonts w:ascii="Times New Roman" w:eastAsia="Times New Roman" w:hAnsi="Times New Roman" w:cs="Times New Roman"/>
          <w:color w:val="1A171B"/>
          <w:sz w:val="24"/>
          <w:szCs w:val="24"/>
          <w:lang w:eastAsia="it-IT"/>
        </w:rPr>
        <w:t>pluralita'</w:t>
      </w:r>
      <w:proofErr w:type="spellEnd"/>
      <w:r w:rsidRPr="008E7217">
        <w:rPr>
          <w:rFonts w:ascii="Times New Roman" w:eastAsia="Times New Roman" w:hAnsi="Times New Roman" w:cs="Times New Roman"/>
          <w:color w:val="1A171B"/>
          <w:sz w:val="24"/>
          <w:szCs w:val="24"/>
          <w:lang w:eastAsia="it-IT"/>
        </w:rPr>
        <w:t xml:space="preserve"> di ragioni.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56. Il canone ermeneutico invocato riguarda la conservazione del contratto e non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essere meccanicamente esteso all'interpretazione di un atto legislativo, per il quale valgono criteri ermeneutici diversi.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57. In ogni caso, anche all'interno dell'ermeneutica contrattuale, si tratta di un canone sussidiario, cui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possibile fare ricorso solo laddove i criteri dettati dagli articoli 1362-1366 non risolvano i problemi interpretativi e permanga il dubbio. Nel caso in esame i criteri della interpretazione letterale ed ancor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della interpretazione sistematica, portano all'esclusione dell'incertezza interpretativa.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58. Solo per completezza, deve anche negarsi l'assunto in fatto che all'epoca della Legge n. 311 del 2004 non vi fossero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volontarie in corso. Erano probabilmente in misura molto circoscritta, come si desume dalla sostanziale assenza di una previsione di spesa in relazione a quanto previsto dall'articolo 1, comma 49, ma situazioni di questo tipo sussistevano, come si evince dal caso considerato, sebbene ad altri fini, da </w:t>
      </w:r>
      <w:proofErr w:type="spellStart"/>
      <w:r w:rsidRPr="008E7217">
        <w:rPr>
          <w:rFonts w:ascii="Times New Roman" w:eastAsia="Times New Roman" w:hAnsi="Times New Roman" w:cs="Times New Roman"/>
          <w:color w:val="1A171B"/>
          <w:sz w:val="24"/>
          <w:szCs w:val="24"/>
          <w:lang w:eastAsia="it-IT"/>
        </w:rPr>
        <w:t>Cass</w:t>
      </w:r>
      <w:proofErr w:type="spellEnd"/>
      <w:r w:rsidRPr="008E7217">
        <w:rPr>
          <w:rFonts w:ascii="Times New Roman" w:eastAsia="Times New Roman" w:hAnsi="Times New Roman" w:cs="Times New Roman"/>
          <w:color w:val="1A171B"/>
          <w:sz w:val="24"/>
          <w:szCs w:val="24"/>
          <w:lang w:eastAsia="it-IT"/>
        </w:rPr>
        <w:t xml:space="preserve">. 20856 del 2015, che concerne una segretaria comunale in </w:t>
      </w:r>
      <w:proofErr w:type="spellStart"/>
      <w:r w:rsidRPr="008E7217">
        <w:rPr>
          <w:rFonts w:ascii="Times New Roman" w:eastAsia="Times New Roman" w:hAnsi="Times New Roman" w:cs="Times New Roman"/>
          <w:color w:val="1A171B"/>
          <w:sz w:val="24"/>
          <w:szCs w:val="24"/>
          <w:lang w:eastAsia="it-IT"/>
        </w:rPr>
        <w:t>disponibilita'</w:t>
      </w:r>
      <w:proofErr w:type="spellEnd"/>
      <w:r w:rsidRPr="008E7217">
        <w:rPr>
          <w:rFonts w:ascii="Times New Roman" w:eastAsia="Times New Roman" w:hAnsi="Times New Roman" w:cs="Times New Roman"/>
          <w:color w:val="1A171B"/>
          <w:sz w:val="24"/>
          <w:szCs w:val="24"/>
          <w:lang w:eastAsia="it-IT"/>
        </w:rPr>
        <w:t xml:space="preserve"> che aveva presentato domanda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volontaria ex articolo 18, a seguito della quale era anche stato autorizzato il suo trasferimento presso altra amministrazione, sebbene tale procedura non si fosse conclusa al momento della entrata in vigore della Legge n. 186 del 2004, ne' in seguito, il che aveva costretto la lavoratrice ad intentare una controversia per il completamento della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volontaria conformemente alla sua domanda.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59. Un'altra prospettazione difensiva concerne il profilo teleologico. Si afferma che la scelta fatta con il comma 49 sarebbe di natura perequativa in quanto volta ad uniformare il trattamento di chi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andato in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prima dell'entrata in vigore del contratto collettivo (17 maggio 2001) con quello </w:t>
      </w:r>
      <w:r w:rsidRPr="008E7217">
        <w:rPr>
          <w:rFonts w:ascii="Times New Roman" w:eastAsia="Times New Roman" w:hAnsi="Times New Roman" w:cs="Times New Roman"/>
          <w:color w:val="1A171B"/>
          <w:sz w:val="24"/>
          <w:szCs w:val="24"/>
          <w:lang w:eastAsia="it-IT"/>
        </w:rPr>
        <w:lastRenderedPageBreak/>
        <w:t xml:space="preserve">di chi ha usufruito della normativa del contratto collettivo. Anche questa affermazione non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condivisibile </w:t>
      </w:r>
      <w:proofErr w:type="spellStart"/>
      <w:r w:rsidRPr="008E7217">
        <w:rPr>
          <w:rFonts w:ascii="Times New Roman" w:eastAsia="Times New Roman" w:hAnsi="Times New Roman" w:cs="Times New Roman"/>
          <w:color w:val="1A171B"/>
          <w:sz w:val="24"/>
          <w:szCs w:val="24"/>
          <w:lang w:eastAsia="it-IT"/>
        </w:rPr>
        <w:t>perche</w:t>
      </w:r>
      <w:proofErr w:type="spellEnd"/>
      <w:r w:rsidRPr="008E7217">
        <w:rPr>
          <w:rFonts w:ascii="Times New Roman" w:eastAsia="Times New Roman" w:hAnsi="Times New Roman" w:cs="Times New Roman"/>
          <w:color w:val="1A171B"/>
          <w:sz w:val="24"/>
          <w:szCs w:val="24"/>
          <w:lang w:eastAsia="it-IT"/>
        </w:rPr>
        <w:t xml:space="preserve">' l'interpretazione proposta porta ad un esito diverso </w:t>
      </w:r>
      <w:proofErr w:type="spellStart"/>
      <w:r w:rsidRPr="008E7217">
        <w:rPr>
          <w:rFonts w:ascii="Times New Roman" w:eastAsia="Times New Roman" w:hAnsi="Times New Roman" w:cs="Times New Roman"/>
          <w:color w:val="1A171B"/>
          <w:sz w:val="24"/>
          <w:szCs w:val="24"/>
          <w:lang w:eastAsia="it-IT"/>
        </w:rPr>
        <w:t>dall'uniformita'</w:t>
      </w:r>
      <w:proofErr w:type="spellEnd"/>
      <w:r w:rsidRPr="008E7217">
        <w:rPr>
          <w:rFonts w:ascii="Times New Roman" w:eastAsia="Times New Roman" w:hAnsi="Times New Roman" w:cs="Times New Roman"/>
          <w:color w:val="1A171B"/>
          <w:sz w:val="24"/>
          <w:szCs w:val="24"/>
          <w:lang w:eastAsia="it-IT"/>
        </w:rPr>
        <w:t xml:space="preserve"> perequativa, in quanto la disciplina contrattuale consentiva l'accesso alla dirigenza solo alle qualifiche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elevate e le leggi successive, dal ultimo proprio il comma 48 della stessa Legge n. 311 del 2004, hanno progressivamente ridotto questa </w:t>
      </w:r>
      <w:proofErr w:type="spellStart"/>
      <w:r w:rsidRPr="008E7217">
        <w:rPr>
          <w:rFonts w:ascii="Times New Roman" w:eastAsia="Times New Roman" w:hAnsi="Times New Roman" w:cs="Times New Roman"/>
          <w:color w:val="1A171B"/>
          <w:sz w:val="24"/>
          <w:szCs w:val="24"/>
          <w:lang w:eastAsia="it-IT"/>
        </w:rPr>
        <w:t>possibilita'</w:t>
      </w:r>
      <w:proofErr w:type="spellEnd"/>
      <w:r w:rsidRPr="008E7217">
        <w:rPr>
          <w:rFonts w:ascii="Times New Roman" w:eastAsia="Times New Roman" w:hAnsi="Times New Roman" w:cs="Times New Roman"/>
          <w:color w:val="1A171B"/>
          <w:sz w:val="24"/>
          <w:szCs w:val="24"/>
          <w:lang w:eastAsia="it-IT"/>
        </w:rPr>
        <w:t xml:space="preserve"> anche per tali qualifiche. Al contrario, con questa lettura l'accesso alla dirigenza verrebbe consentito ai segretari la cui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conclusa molti anni prima, semplicemente in presenza di due requisiti minimali, quale che sia la loro qualifica. Non di perequazione si tratterebbe, ma di integrale rimodulazione del sistema con generale accesso alla dirigenza, in assenza di procedure concorsuali.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60. La Corte costituzionale ha reiteratamente ribadito che il principio costituzionale dell'accesso alla pubblica amministrazione per concorso pubblico vale anche per l'accesso alla dirigenza (Corte </w:t>
      </w:r>
      <w:proofErr w:type="spellStart"/>
      <w:r w:rsidRPr="008E7217">
        <w:rPr>
          <w:rFonts w:ascii="Times New Roman" w:eastAsia="Times New Roman" w:hAnsi="Times New Roman" w:cs="Times New Roman"/>
          <w:color w:val="1A171B"/>
          <w:sz w:val="24"/>
          <w:szCs w:val="24"/>
          <w:lang w:eastAsia="it-IT"/>
        </w:rPr>
        <w:t>cost</w:t>
      </w:r>
      <w:proofErr w:type="spellEnd"/>
      <w:r w:rsidRPr="008E7217">
        <w:rPr>
          <w:rFonts w:ascii="Times New Roman" w:eastAsia="Times New Roman" w:hAnsi="Times New Roman" w:cs="Times New Roman"/>
          <w:color w:val="1A171B"/>
          <w:sz w:val="24"/>
          <w:szCs w:val="24"/>
          <w:lang w:eastAsia="it-IT"/>
        </w:rPr>
        <w:t xml:space="preserve">. </w:t>
      </w:r>
      <w:proofErr w:type="spellStart"/>
      <w:proofErr w:type="gramStart"/>
      <w:r w:rsidRPr="008E7217">
        <w:rPr>
          <w:rFonts w:ascii="Times New Roman" w:eastAsia="Times New Roman" w:hAnsi="Times New Roman" w:cs="Times New Roman"/>
          <w:color w:val="1A171B"/>
          <w:sz w:val="24"/>
          <w:szCs w:val="24"/>
          <w:lang w:eastAsia="it-IT"/>
        </w:rPr>
        <w:t>nn</w:t>
      </w:r>
      <w:proofErr w:type="spellEnd"/>
      <w:proofErr w:type="gramEnd"/>
      <w:r w:rsidRPr="008E7217">
        <w:rPr>
          <w:rFonts w:ascii="Times New Roman" w:eastAsia="Times New Roman" w:hAnsi="Times New Roman" w:cs="Times New Roman"/>
          <w:color w:val="1A171B"/>
          <w:sz w:val="24"/>
          <w:szCs w:val="24"/>
          <w:lang w:eastAsia="it-IT"/>
        </w:rPr>
        <w:t xml:space="preserve">. 108 e 7 del 2011, </w:t>
      </w:r>
      <w:proofErr w:type="spellStart"/>
      <w:r w:rsidRPr="008E7217">
        <w:rPr>
          <w:rFonts w:ascii="Times New Roman" w:eastAsia="Times New Roman" w:hAnsi="Times New Roman" w:cs="Times New Roman"/>
          <w:color w:val="1A171B"/>
          <w:sz w:val="24"/>
          <w:szCs w:val="24"/>
          <w:lang w:eastAsia="it-IT"/>
        </w:rPr>
        <w:t>nn</w:t>
      </w:r>
      <w:proofErr w:type="spellEnd"/>
      <w:r w:rsidRPr="008E7217">
        <w:rPr>
          <w:rFonts w:ascii="Times New Roman" w:eastAsia="Times New Roman" w:hAnsi="Times New Roman" w:cs="Times New Roman"/>
          <w:color w:val="1A171B"/>
          <w:sz w:val="24"/>
          <w:szCs w:val="24"/>
          <w:lang w:eastAsia="it-IT"/>
        </w:rPr>
        <w:t xml:space="preserve">. 30, 212 e 217 del 2012). In particolare, nella sentenza n. 217 del 2012 si </w:t>
      </w:r>
      <w:proofErr w:type="spellStart"/>
      <w:r w:rsidRPr="008E7217">
        <w:rPr>
          <w:rFonts w:ascii="Times New Roman" w:eastAsia="Times New Roman" w:hAnsi="Times New Roman" w:cs="Times New Roman"/>
          <w:color w:val="1A171B"/>
          <w:sz w:val="24"/>
          <w:szCs w:val="24"/>
          <w:lang w:eastAsia="it-IT"/>
        </w:rPr>
        <w:t>e'</w:t>
      </w:r>
      <w:proofErr w:type="spellEnd"/>
      <w:r w:rsidRPr="008E7217">
        <w:rPr>
          <w:rFonts w:ascii="Times New Roman" w:eastAsia="Times New Roman" w:hAnsi="Times New Roman" w:cs="Times New Roman"/>
          <w:color w:val="1A171B"/>
          <w:sz w:val="24"/>
          <w:szCs w:val="24"/>
          <w:lang w:eastAsia="it-IT"/>
        </w:rPr>
        <w:t xml:space="preserve"> </w:t>
      </w:r>
      <w:proofErr w:type="spellStart"/>
      <w:r w:rsidRPr="008E7217">
        <w:rPr>
          <w:rFonts w:ascii="Times New Roman" w:eastAsia="Times New Roman" w:hAnsi="Times New Roman" w:cs="Times New Roman"/>
          <w:color w:val="1A171B"/>
          <w:sz w:val="24"/>
          <w:szCs w:val="24"/>
          <w:lang w:eastAsia="it-IT"/>
        </w:rPr>
        <w:t>cosi'</w:t>
      </w:r>
      <w:proofErr w:type="spellEnd"/>
      <w:r w:rsidRPr="008E7217">
        <w:rPr>
          <w:rFonts w:ascii="Times New Roman" w:eastAsia="Times New Roman" w:hAnsi="Times New Roman" w:cs="Times New Roman"/>
          <w:color w:val="1A171B"/>
          <w:sz w:val="24"/>
          <w:szCs w:val="24"/>
          <w:lang w:eastAsia="it-IT"/>
        </w:rPr>
        <w:t xml:space="preserve"> espressa: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volte questa Corte (tra le tante si vedano le </w:t>
      </w:r>
      <w:proofErr w:type="spellStart"/>
      <w:r w:rsidRPr="008E7217">
        <w:rPr>
          <w:rFonts w:ascii="Times New Roman" w:eastAsia="Times New Roman" w:hAnsi="Times New Roman" w:cs="Times New Roman"/>
          <w:color w:val="1A171B"/>
          <w:sz w:val="24"/>
          <w:szCs w:val="24"/>
          <w:lang w:eastAsia="it-IT"/>
        </w:rPr>
        <w:t>piu'</w:t>
      </w:r>
      <w:proofErr w:type="spellEnd"/>
      <w:r w:rsidRPr="008E7217">
        <w:rPr>
          <w:rFonts w:ascii="Times New Roman" w:eastAsia="Times New Roman" w:hAnsi="Times New Roman" w:cs="Times New Roman"/>
          <w:color w:val="1A171B"/>
          <w:sz w:val="24"/>
          <w:szCs w:val="24"/>
          <w:lang w:eastAsia="it-IT"/>
        </w:rPr>
        <w:t xml:space="preserve"> recenti sentenze n. 90, 62, 51, 30 del 2012 e 299 del 2011) ha posto in rilievo la </w:t>
      </w:r>
      <w:proofErr w:type="spellStart"/>
      <w:r w:rsidRPr="008E7217">
        <w:rPr>
          <w:rFonts w:ascii="Times New Roman" w:eastAsia="Times New Roman" w:hAnsi="Times New Roman" w:cs="Times New Roman"/>
          <w:color w:val="1A171B"/>
          <w:sz w:val="24"/>
          <w:szCs w:val="24"/>
          <w:lang w:eastAsia="it-IT"/>
        </w:rPr>
        <w:t>facolta'</w:t>
      </w:r>
      <w:proofErr w:type="spellEnd"/>
      <w:r w:rsidRPr="008E7217">
        <w:rPr>
          <w:rFonts w:ascii="Times New Roman" w:eastAsia="Times New Roman" w:hAnsi="Times New Roman" w:cs="Times New Roman"/>
          <w:color w:val="1A171B"/>
          <w:sz w:val="24"/>
          <w:szCs w:val="24"/>
          <w:lang w:eastAsia="it-IT"/>
        </w:rPr>
        <w:t xml:space="preserve"> del legislatore di introdurre deroghe al principio del pubblico concorso di cui all'articolo 97 </w:t>
      </w:r>
      <w:proofErr w:type="spellStart"/>
      <w:r w:rsidRPr="008E7217">
        <w:rPr>
          <w:rFonts w:ascii="Times New Roman" w:eastAsia="Times New Roman" w:hAnsi="Times New Roman" w:cs="Times New Roman"/>
          <w:color w:val="1A171B"/>
          <w:sz w:val="24"/>
          <w:szCs w:val="24"/>
          <w:lang w:eastAsia="it-IT"/>
        </w:rPr>
        <w:t>Cost</w:t>
      </w:r>
      <w:proofErr w:type="spellEnd"/>
      <w:r w:rsidRPr="008E7217">
        <w:rPr>
          <w:rFonts w:ascii="Times New Roman" w:eastAsia="Times New Roman" w:hAnsi="Times New Roman" w:cs="Times New Roman"/>
          <w:color w:val="1A171B"/>
          <w:sz w:val="24"/>
          <w:szCs w:val="24"/>
          <w:lang w:eastAsia="it-IT"/>
        </w:rPr>
        <w:t>., deve essere delimitata in modo rigoroso, potendo tali deroghe essere considerate legittime solo quando siano funzionali esse stesse al buon andamento dell'amministrazione e ove ricorrano peculiari e straordinarie esigenze di interesse pubblico idonee a giustificarle". L'affermazione vale anche, ed a maggior ragione, per l'acquisizione delle qualifiche dirigenziali.</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61. L'interpretazione di testi normativi che apportano deroghe in materia di accesso alla dirigenza deve essere, di conseguenza, quanto mai rigorosa e non </w:t>
      </w:r>
      <w:proofErr w:type="spellStart"/>
      <w:r w:rsidRPr="008E7217">
        <w:rPr>
          <w:rFonts w:ascii="Times New Roman" w:eastAsia="Times New Roman" w:hAnsi="Times New Roman" w:cs="Times New Roman"/>
          <w:color w:val="1A171B"/>
          <w:sz w:val="24"/>
          <w:szCs w:val="24"/>
          <w:lang w:eastAsia="it-IT"/>
        </w:rPr>
        <w:t>puo'</w:t>
      </w:r>
      <w:proofErr w:type="spellEnd"/>
      <w:r w:rsidRPr="008E7217">
        <w:rPr>
          <w:rFonts w:ascii="Times New Roman" w:eastAsia="Times New Roman" w:hAnsi="Times New Roman" w:cs="Times New Roman"/>
          <w:color w:val="1A171B"/>
          <w:sz w:val="24"/>
          <w:szCs w:val="24"/>
          <w:lang w:eastAsia="it-IT"/>
        </w:rPr>
        <w:t xml:space="preserve"> estendersi al di </w:t>
      </w:r>
      <w:proofErr w:type="spellStart"/>
      <w:r w:rsidRPr="008E7217">
        <w:rPr>
          <w:rFonts w:ascii="Times New Roman" w:eastAsia="Times New Roman" w:hAnsi="Times New Roman" w:cs="Times New Roman"/>
          <w:color w:val="1A171B"/>
          <w:sz w:val="24"/>
          <w:szCs w:val="24"/>
          <w:lang w:eastAsia="it-IT"/>
        </w:rPr>
        <w:t>la'</w:t>
      </w:r>
      <w:proofErr w:type="spellEnd"/>
      <w:r w:rsidRPr="008E7217">
        <w:rPr>
          <w:rFonts w:ascii="Times New Roman" w:eastAsia="Times New Roman" w:hAnsi="Times New Roman" w:cs="Times New Roman"/>
          <w:color w:val="1A171B"/>
          <w:sz w:val="24"/>
          <w:szCs w:val="24"/>
          <w:lang w:eastAsia="it-IT"/>
        </w:rPr>
        <w:t xml:space="preserve"> di quanto emerga in maniera precisa ed inequivoca dalle affermazioni del legislatore.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62. E' in atto un complesso processo di riorganizzazione delle amministrazioni pubbliche (Legge Delega 7 agosto 2015, n. 124), all'interno del quale sono previsti tanto interventi in materia di dirigenza pubblica, che interventi sulla posizione dei segretari comunali e provinciali. I decreti delegati in corso di elaborazione potrebbero costituire occasione per procedere ad eventuali chiarimenti ed interpretazioni autentiche della normativa che regola il caso in esame. Allo stato, la lettura della legge delega non offre elementi che incidano sull'interpretazione qui seguita.</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63. In conclusione, in </w:t>
      </w:r>
      <w:proofErr w:type="spellStart"/>
      <w:r w:rsidRPr="008E7217">
        <w:rPr>
          <w:rFonts w:ascii="Times New Roman" w:eastAsia="Times New Roman" w:hAnsi="Times New Roman" w:cs="Times New Roman"/>
          <w:color w:val="1A171B"/>
          <w:sz w:val="24"/>
          <w:szCs w:val="24"/>
          <w:lang w:eastAsia="it-IT"/>
        </w:rPr>
        <w:t>continuita'</w:t>
      </w:r>
      <w:proofErr w:type="spellEnd"/>
      <w:r w:rsidRPr="008E7217">
        <w:rPr>
          <w:rFonts w:ascii="Times New Roman" w:eastAsia="Times New Roman" w:hAnsi="Times New Roman" w:cs="Times New Roman"/>
          <w:color w:val="1A171B"/>
          <w:sz w:val="24"/>
          <w:szCs w:val="24"/>
          <w:lang w:eastAsia="it-IT"/>
        </w:rPr>
        <w:t xml:space="preserve"> con i tre precedenti prima richiamati, deve affermarsi, il seguente principio di diritto: "la Legge n. 311 del 2004, articolo 1, comma 49 non si applica alle procedure di </w:t>
      </w:r>
      <w:proofErr w:type="spellStart"/>
      <w:r w:rsidRPr="008E7217">
        <w:rPr>
          <w:rFonts w:ascii="Times New Roman" w:eastAsia="Times New Roman" w:hAnsi="Times New Roman" w:cs="Times New Roman"/>
          <w:color w:val="1A171B"/>
          <w:sz w:val="24"/>
          <w:szCs w:val="24"/>
          <w:lang w:eastAsia="it-IT"/>
        </w:rPr>
        <w:t>mobilita'</w:t>
      </w:r>
      <w:proofErr w:type="spellEnd"/>
      <w:r w:rsidRPr="008E7217">
        <w:rPr>
          <w:rFonts w:ascii="Times New Roman" w:eastAsia="Times New Roman" w:hAnsi="Times New Roman" w:cs="Times New Roman"/>
          <w:color w:val="1A171B"/>
          <w:sz w:val="24"/>
          <w:szCs w:val="24"/>
          <w:lang w:eastAsia="it-IT"/>
        </w:rPr>
        <w:t xml:space="preserve"> dei segretari comunali e provinciali </w:t>
      </w:r>
      <w:proofErr w:type="spellStart"/>
      <w:r w:rsidRPr="008E7217">
        <w:rPr>
          <w:rFonts w:ascii="Times New Roman" w:eastAsia="Times New Roman" w:hAnsi="Times New Roman" w:cs="Times New Roman"/>
          <w:color w:val="1A171B"/>
          <w:sz w:val="24"/>
          <w:szCs w:val="24"/>
          <w:lang w:eastAsia="it-IT"/>
        </w:rPr>
        <w:t>gia'</w:t>
      </w:r>
      <w:proofErr w:type="spellEnd"/>
      <w:r w:rsidRPr="008E7217">
        <w:rPr>
          <w:rFonts w:ascii="Times New Roman" w:eastAsia="Times New Roman" w:hAnsi="Times New Roman" w:cs="Times New Roman"/>
          <w:color w:val="1A171B"/>
          <w:sz w:val="24"/>
          <w:szCs w:val="24"/>
          <w:lang w:eastAsia="it-IT"/>
        </w:rPr>
        <w:t xml:space="preserve"> concluse alla data di entrata in vigore di tale legge".</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64. Il ricorso della amministrazione, pertanto, deve essere accolto.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 xml:space="preserve">65. </w:t>
      </w:r>
      <w:proofErr w:type="spellStart"/>
      <w:r w:rsidRPr="008E7217">
        <w:rPr>
          <w:rFonts w:ascii="Times New Roman" w:eastAsia="Times New Roman" w:hAnsi="Times New Roman" w:cs="Times New Roman"/>
          <w:color w:val="1A171B"/>
          <w:sz w:val="24"/>
          <w:szCs w:val="24"/>
          <w:lang w:eastAsia="it-IT"/>
        </w:rPr>
        <w:t>Poiche</w:t>
      </w:r>
      <w:proofErr w:type="spellEnd"/>
      <w:r w:rsidRPr="008E7217">
        <w:rPr>
          <w:rFonts w:ascii="Times New Roman" w:eastAsia="Times New Roman" w:hAnsi="Times New Roman" w:cs="Times New Roman"/>
          <w:color w:val="1A171B"/>
          <w:sz w:val="24"/>
          <w:szCs w:val="24"/>
          <w:lang w:eastAsia="it-IT"/>
        </w:rPr>
        <w:t xml:space="preserve">' non sono necessari ulteriori accertamenti di fatto, ai sensi dell'articolo 384 </w:t>
      </w:r>
      <w:proofErr w:type="spellStart"/>
      <w:r w:rsidRPr="008E7217">
        <w:rPr>
          <w:rFonts w:ascii="Times New Roman" w:eastAsia="Times New Roman" w:hAnsi="Times New Roman" w:cs="Times New Roman"/>
          <w:color w:val="1A171B"/>
          <w:sz w:val="24"/>
          <w:szCs w:val="24"/>
          <w:lang w:eastAsia="it-IT"/>
        </w:rPr>
        <w:t>c.p.c.</w:t>
      </w:r>
      <w:proofErr w:type="spellEnd"/>
      <w:r w:rsidRPr="008E7217">
        <w:rPr>
          <w:rFonts w:ascii="Times New Roman" w:eastAsia="Times New Roman" w:hAnsi="Times New Roman" w:cs="Times New Roman"/>
          <w:color w:val="1A171B"/>
          <w:sz w:val="24"/>
          <w:szCs w:val="24"/>
          <w:lang w:eastAsia="it-IT"/>
        </w:rPr>
        <w:t>, comma 2, la controversia deve essere decisa nel merito con il rigetto, in base al principio di diritto su enunciato, della domanda introduttiva del giudizio.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66. Le ragioni che hanno portato all'intervento delle Sezioni unite, giustificano la compensazione delle spese dell'intero processo.</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P.Q.M.</w:t>
      </w:r>
    </w:p>
    <w:p w:rsidR="008E7217" w:rsidRPr="008E7217" w:rsidRDefault="008E7217" w:rsidP="008E7217">
      <w:pPr>
        <w:shd w:val="clear" w:color="auto" w:fill="F3E2D1"/>
        <w:spacing w:after="0" w:line="240" w:lineRule="auto"/>
        <w:rPr>
          <w:rFonts w:ascii="Times New Roman" w:eastAsia="Times New Roman" w:hAnsi="Times New Roman" w:cs="Times New Roman"/>
          <w:color w:val="1A171B"/>
          <w:sz w:val="24"/>
          <w:szCs w:val="24"/>
          <w:lang w:eastAsia="it-IT"/>
        </w:rPr>
      </w:pPr>
      <w:r w:rsidRPr="008E7217">
        <w:rPr>
          <w:rFonts w:ascii="Times New Roman" w:eastAsia="Times New Roman" w:hAnsi="Times New Roman" w:cs="Times New Roman"/>
          <w:color w:val="1A171B"/>
          <w:sz w:val="24"/>
          <w:szCs w:val="24"/>
          <w:lang w:eastAsia="it-IT"/>
        </w:rPr>
        <w:t>La Corte accoglie il ricorso, cassa la sentenza impugnata e, decidendo nel merito, rigetta la domanda, compensa le spese dell'intero processo.</w:t>
      </w:r>
    </w:p>
    <w:p w:rsidR="00DD4F50" w:rsidRPr="008E7217" w:rsidRDefault="00DD4F50" w:rsidP="008E7217">
      <w:pPr>
        <w:spacing w:after="0" w:line="240" w:lineRule="auto"/>
        <w:rPr>
          <w:rFonts w:ascii="Times New Roman" w:hAnsi="Times New Roman" w:cs="Times New Roman"/>
          <w:sz w:val="24"/>
          <w:szCs w:val="24"/>
        </w:rPr>
      </w:pPr>
    </w:p>
    <w:sectPr w:rsidR="00DD4F50" w:rsidRPr="008E72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002127"/>
    <w:rsid w:val="001A0C00"/>
    <w:rsid w:val="002A7042"/>
    <w:rsid w:val="0078435A"/>
    <w:rsid w:val="008E7217"/>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695">
      <w:bodyDiv w:val="1"/>
      <w:marLeft w:val="0"/>
      <w:marRight w:val="0"/>
      <w:marTop w:val="0"/>
      <w:marBottom w:val="0"/>
      <w:divBdr>
        <w:top w:val="none" w:sz="0" w:space="0" w:color="auto"/>
        <w:left w:val="none" w:sz="0" w:space="0" w:color="auto"/>
        <w:bottom w:val="none" w:sz="0" w:space="0" w:color="auto"/>
        <w:right w:val="none" w:sz="0" w:space="0" w:color="auto"/>
      </w:divBdr>
      <w:divsChild>
        <w:div w:id="453795439">
          <w:marLeft w:val="0"/>
          <w:marRight w:val="0"/>
          <w:marTop w:val="0"/>
          <w:marBottom w:val="0"/>
          <w:divBdr>
            <w:top w:val="none" w:sz="0" w:space="0" w:color="auto"/>
            <w:left w:val="none" w:sz="0" w:space="0" w:color="auto"/>
            <w:bottom w:val="none" w:sz="0" w:space="0" w:color="auto"/>
            <w:right w:val="none" w:sz="0" w:space="0" w:color="auto"/>
          </w:divBdr>
          <w:divsChild>
            <w:div w:id="1129401253">
              <w:marLeft w:val="0"/>
              <w:marRight w:val="0"/>
              <w:marTop w:val="0"/>
              <w:marBottom w:val="0"/>
              <w:divBdr>
                <w:top w:val="none" w:sz="0" w:space="0" w:color="auto"/>
                <w:left w:val="none" w:sz="0" w:space="0" w:color="auto"/>
                <w:bottom w:val="none" w:sz="0" w:space="0" w:color="auto"/>
                <w:right w:val="none" w:sz="0" w:space="0" w:color="auto"/>
              </w:divBdr>
              <w:divsChild>
                <w:div w:id="19088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2189">
      <w:bodyDiv w:val="1"/>
      <w:marLeft w:val="0"/>
      <w:marRight w:val="0"/>
      <w:marTop w:val="0"/>
      <w:marBottom w:val="0"/>
      <w:divBdr>
        <w:top w:val="none" w:sz="0" w:space="0" w:color="auto"/>
        <w:left w:val="none" w:sz="0" w:space="0" w:color="auto"/>
        <w:bottom w:val="none" w:sz="0" w:space="0" w:color="auto"/>
        <w:right w:val="none" w:sz="0" w:space="0" w:color="auto"/>
      </w:divBdr>
      <w:divsChild>
        <w:div w:id="1030842845">
          <w:marLeft w:val="0"/>
          <w:marRight w:val="0"/>
          <w:marTop w:val="0"/>
          <w:marBottom w:val="0"/>
          <w:divBdr>
            <w:top w:val="none" w:sz="0" w:space="0" w:color="auto"/>
            <w:left w:val="none" w:sz="0" w:space="0" w:color="auto"/>
            <w:bottom w:val="none" w:sz="0" w:space="0" w:color="auto"/>
            <w:right w:val="none" w:sz="0" w:space="0" w:color="auto"/>
          </w:divBdr>
          <w:divsChild>
            <w:div w:id="877819063">
              <w:marLeft w:val="0"/>
              <w:marRight w:val="0"/>
              <w:marTop w:val="0"/>
              <w:marBottom w:val="0"/>
              <w:divBdr>
                <w:top w:val="none" w:sz="0" w:space="0" w:color="auto"/>
                <w:left w:val="none" w:sz="0" w:space="0" w:color="auto"/>
                <w:bottom w:val="none" w:sz="0" w:space="0" w:color="auto"/>
                <w:right w:val="none" w:sz="0" w:space="0" w:color="auto"/>
              </w:divBdr>
              <w:divsChild>
                <w:div w:id="6677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4087</Words>
  <Characters>23297</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2</cp:revision>
  <dcterms:created xsi:type="dcterms:W3CDTF">2016-01-26T04:27:00Z</dcterms:created>
  <dcterms:modified xsi:type="dcterms:W3CDTF">2016-01-26T04:27:00Z</dcterms:modified>
</cp:coreProperties>
</file>